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E1BF0" w14:textId="0A6F716D" w:rsidR="00CD0545" w:rsidRPr="003E069D" w:rsidRDefault="00AE1DCA" w:rsidP="00CD0545">
      <w:pPr>
        <w:jc w:val="center"/>
        <w:rPr>
          <w:rFonts w:ascii="Century Gothic" w:hAnsi="Century Gothic" w:cstheme="minorHAnsi"/>
          <w:b/>
          <w:bCs/>
          <w:color w:val="000000" w:themeColor="text1"/>
          <w:sz w:val="32"/>
          <w:szCs w:val="32"/>
          <w:u w:val="single"/>
        </w:rPr>
      </w:pPr>
      <w:r w:rsidRPr="003E069D">
        <w:rPr>
          <w:rFonts w:ascii="Century Gothic" w:hAnsi="Century Gothic" w:cstheme="minorHAnsi"/>
          <w:b/>
          <w:bCs/>
          <w:color w:val="000000" w:themeColor="text1"/>
          <w:sz w:val="32"/>
          <w:szCs w:val="32"/>
          <w:u w:val="single"/>
        </w:rPr>
        <w:t>Evidence bundle checklist for submission</w:t>
      </w:r>
    </w:p>
    <w:p w14:paraId="5388C566" w14:textId="6933FCA0" w:rsidR="00CD0545" w:rsidRPr="003E069D" w:rsidRDefault="00CD0545" w:rsidP="00CD0545">
      <w:pPr>
        <w:pStyle w:val="NormalWeb"/>
        <w:rPr>
          <w:rFonts w:ascii="Century Gothic" w:hAnsi="Century Gothic" w:cstheme="minorHAnsi"/>
        </w:rPr>
      </w:pPr>
      <w:r w:rsidRPr="003E069D">
        <w:rPr>
          <w:rFonts w:ascii="Century Gothic" w:hAnsi="Century Gothic" w:cstheme="minorHAnsi"/>
        </w:rPr>
        <w:t xml:space="preserve">For programmes to be considered for accreditation, the programme needs to map fully to all the ACCP Curriculum framework capabilities. Programmes that only enable partial fulfilment of the capabilities of the framework for ACCPs cannot be considered for accreditation. </w:t>
      </w:r>
    </w:p>
    <w:p w14:paraId="2822A61B" w14:textId="705F1A44" w:rsidR="00CD0545" w:rsidRPr="003E069D" w:rsidRDefault="00CD0545" w:rsidP="00CD0545">
      <w:pPr>
        <w:rPr>
          <w:rFonts w:ascii="Century Gothic" w:hAnsi="Century Gothic" w:cstheme="minorHAnsi"/>
          <w:color w:val="000000" w:themeColor="text1"/>
        </w:rPr>
      </w:pPr>
      <w:r w:rsidRPr="003E069D">
        <w:rPr>
          <w:rFonts w:ascii="Century Gothic" w:hAnsi="Century Gothic" w:cstheme="minorHAnsi"/>
          <w:color w:val="000000" w:themeColor="text1"/>
        </w:rPr>
        <w:t>Please use this form to structure your Evidence Submission to ensure all necessary elements are included, where possible please note the page references on the checklist for the panel to easily navigate the evidence.</w:t>
      </w:r>
    </w:p>
    <w:p w14:paraId="6A697BAE" w14:textId="77777777" w:rsidR="00493051" w:rsidRPr="003E069D" w:rsidRDefault="00493051" w:rsidP="00493051">
      <w:pPr>
        <w:numPr>
          <w:ilvl w:val="0"/>
          <w:numId w:val="7"/>
        </w:numPr>
        <w:spacing w:before="100" w:beforeAutospacing="1" w:after="120"/>
        <w:ind w:left="315"/>
        <w:rPr>
          <w:rFonts w:ascii="Century Gothic" w:eastAsia="Times New Roman" w:hAnsi="Century Gothic" w:cstheme="minorHAnsi"/>
          <w:color w:val="000000" w:themeColor="text1"/>
        </w:rPr>
      </w:pPr>
      <w:r w:rsidRPr="003E069D">
        <w:rPr>
          <w:rFonts w:ascii="Century Gothic" w:eastAsia="Times New Roman" w:hAnsi="Century Gothic" w:cstheme="minorHAnsi"/>
          <w:color w:val="000000" w:themeColor="text1"/>
        </w:rPr>
        <w:t>The evidence bundle must reach FICM at least 4 weeks prior to the proposed visit.</w:t>
      </w:r>
    </w:p>
    <w:p w14:paraId="6BBAA32A" w14:textId="77777777" w:rsidR="00493051" w:rsidRPr="003E069D" w:rsidRDefault="00493051" w:rsidP="00493051">
      <w:pPr>
        <w:numPr>
          <w:ilvl w:val="0"/>
          <w:numId w:val="7"/>
        </w:numPr>
        <w:spacing w:before="100" w:beforeAutospacing="1" w:after="120"/>
        <w:ind w:left="315"/>
        <w:rPr>
          <w:rFonts w:ascii="Century Gothic" w:eastAsia="Times New Roman" w:hAnsi="Century Gothic" w:cstheme="minorHAnsi"/>
          <w:color w:val="000000" w:themeColor="text1"/>
        </w:rPr>
      </w:pPr>
      <w:r w:rsidRPr="003E069D">
        <w:rPr>
          <w:rFonts w:ascii="Century Gothic" w:eastAsia="Times New Roman" w:hAnsi="Century Gothic" w:cstheme="minorHAnsi"/>
          <w:color w:val="000000" w:themeColor="text1"/>
        </w:rPr>
        <w:t xml:space="preserve">It is intended that documents submitted in support of an accreditation process should reflect the normal requirements for a course validation process within the HEI. </w:t>
      </w:r>
    </w:p>
    <w:p w14:paraId="7212841B" w14:textId="16283859" w:rsidR="00493051" w:rsidRPr="003E069D" w:rsidRDefault="00493051" w:rsidP="00493051">
      <w:pPr>
        <w:numPr>
          <w:ilvl w:val="0"/>
          <w:numId w:val="7"/>
        </w:numPr>
        <w:spacing w:before="100" w:beforeAutospacing="1" w:after="120"/>
        <w:ind w:left="315"/>
        <w:rPr>
          <w:rFonts w:ascii="Century Gothic" w:eastAsia="Times New Roman" w:hAnsi="Century Gothic" w:cstheme="minorHAnsi"/>
          <w:color w:val="000000" w:themeColor="text1"/>
        </w:rPr>
      </w:pPr>
      <w:r w:rsidRPr="003E069D">
        <w:rPr>
          <w:rFonts w:ascii="Century Gothic" w:eastAsia="Times New Roman" w:hAnsi="Century Gothic" w:cstheme="minorHAnsi"/>
          <w:color w:val="000000" w:themeColor="text1"/>
        </w:rPr>
        <w:t>The Faculty would expect a set of documents that would include (as a minimum):</w:t>
      </w:r>
    </w:p>
    <w:p w14:paraId="4B62F7C5" w14:textId="77777777" w:rsidR="00493051" w:rsidRPr="003E069D" w:rsidRDefault="00493051" w:rsidP="00493051">
      <w:pPr>
        <w:pStyle w:val="ListParagraph"/>
        <w:numPr>
          <w:ilvl w:val="0"/>
          <w:numId w:val="7"/>
        </w:numPr>
        <w:spacing w:line="259" w:lineRule="auto"/>
        <w:rPr>
          <w:rFonts w:ascii="Century Gothic" w:hAnsi="Century Gothic" w:cstheme="minorHAnsi"/>
          <w:color w:val="000000" w:themeColor="text1"/>
          <w:sz w:val="24"/>
        </w:rPr>
      </w:pPr>
      <w:r w:rsidRPr="003E069D">
        <w:rPr>
          <w:rFonts w:ascii="Century Gothic" w:hAnsi="Century Gothic" w:cstheme="minorHAnsi"/>
          <w:color w:val="000000" w:themeColor="text1"/>
          <w:sz w:val="24"/>
        </w:rPr>
        <w:t>The programme specification (in accordance with QAA requirements)</w:t>
      </w:r>
    </w:p>
    <w:p w14:paraId="2EC81310" w14:textId="77777777" w:rsidR="00493051" w:rsidRPr="003E069D" w:rsidRDefault="00493051" w:rsidP="00493051">
      <w:pPr>
        <w:pStyle w:val="ListParagraph"/>
        <w:numPr>
          <w:ilvl w:val="0"/>
          <w:numId w:val="7"/>
        </w:numPr>
        <w:spacing w:line="259" w:lineRule="auto"/>
        <w:rPr>
          <w:rFonts w:ascii="Century Gothic" w:hAnsi="Century Gothic" w:cstheme="minorHAnsi"/>
          <w:color w:val="000000" w:themeColor="text1"/>
          <w:sz w:val="24"/>
        </w:rPr>
      </w:pPr>
      <w:r w:rsidRPr="003E069D">
        <w:rPr>
          <w:rFonts w:ascii="Century Gothic" w:hAnsi="Century Gothic" w:cstheme="minorHAnsi"/>
          <w:color w:val="000000" w:themeColor="text1"/>
          <w:sz w:val="24"/>
        </w:rPr>
        <w:t>A critical review of the programme (where it is an existing programme)</w:t>
      </w:r>
    </w:p>
    <w:p w14:paraId="4C902620" w14:textId="77777777" w:rsidR="00493051" w:rsidRPr="003E069D" w:rsidRDefault="00493051" w:rsidP="00493051">
      <w:pPr>
        <w:pStyle w:val="ListParagraph"/>
        <w:numPr>
          <w:ilvl w:val="0"/>
          <w:numId w:val="7"/>
        </w:numPr>
        <w:spacing w:line="259" w:lineRule="auto"/>
        <w:rPr>
          <w:rFonts w:ascii="Century Gothic" w:hAnsi="Century Gothic" w:cstheme="minorHAnsi"/>
          <w:color w:val="000000" w:themeColor="text1"/>
          <w:sz w:val="24"/>
        </w:rPr>
      </w:pPr>
      <w:r w:rsidRPr="003E069D">
        <w:rPr>
          <w:rFonts w:ascii="Century Gothic" w:hAnsi="Century Gothic" w:cstheme="minorHAnsi"/>
          <w:color w:val="000000" w:themeColor="text1"/>
          <w:sz w:val="24"/>
        </w:rPr>
        <w:t>A submission document (or combination thereof) covering all aspects of provision detailed in the accreditation criteria. Where it is the HEI’s policy to provide existing documents, such as student handbooks, as part of the submission, this is acceptable to the Faculty. HEIs should ensure that sufficient evidence is included for accreditation decisions to be made.</w:t>
      </w:r>
    </w:p>
    <w:p w14:paraId="4736D997" w14:textId="5E849879" w:rsidR="00AE1DCA" w:rsidRPr="003E069D" w:rsidRDefault="00493051" w:rsidP="00493051">
      <w:pPr>
        <w:pStyle w:val="ListParagraph"/>
        <w:numPr>
          <w:ilvl w:val="0"/>
          <w:numId w:val="7"/>
        </w:numPr>
        <w:spacing w:line="259" w:lineRule="auto"/>
        <w:rPr>
          <w:rFonts w:ascii="Century Gothic" w:hAnsi="Century Gothic" w:cstheme="minorHAnsi"/>
          <w:color w:val="000000" w:themeColor="text1"/>
          <w:sz w:val="24"/>
        </w:rPr>
      </w:pPr>
      <w:r w:rsidRPr="003E069D">
        <w:rPr>
          <w:rFonts w:ascii="Century Gothic" w:hAnsi="Century Gothic" w:cstheme="minorHAnsi"/>
          <w:color w:val="000000" w:themeColor="text1"/>
          <w:sz w:val="24"/>
        </w:rPr>
        <w:t>Evidence of provision or intention to provide blended learning options for course provision.</w:t>
      </w:r>
    </w:p>
    <w:p w14:paraId="46C40825" w14:textId="69795D8A" w:rsidR="00AE1DCA" w:rsidRPr="003E069D" w:rsidRDefault="00AE1DCA">
      <w:pPr>
        <w:rPr>
          <w:rFonts w:ascii="Century Gothic" w:hAnsi="Century Gothic"/>
        </w:rPr>
      </w:pPr>
    </w:p>
    <w:tbl>
      <w:tblPr>
        <w:tblStyle w:val="TableGrid"/>
        <w:tblW w:w="14460" w:type="dxa"/>
        <w:tblInd w:w="-431" w:type="dxa"/>
        <w:tblLayout w:type="fixed"/>
        <w:tblLook w:val="04A0" w:firstRow="1" w:lastRow="0" w:firstColumn="1" w:lastColumn="0" w:noHBand="0" w:noVBand="1"/>
      </w:tblPr>
      <w:tblGrid>
        <w:gridCol w:w="1986"/>
        <w:gridCol w:w="6804"/>
        <w:gridCol w:w="2835"/>
        <w:gridCol w:w="2835"/>
      </w:tblGrid>
      <w:tr w:rsidR="00AE1DCA" w:rsidRPr="003E069D" w14:paraId="68DCA4A2" w14:textId="77777777" w:rsidTr="00110F97">
        <w:tc>
          <w:tcPr>
            <w:tcW w:w="1986" w:type="dxa"/>
            <w:shd w:val="clear" w:color="auto" w:fill="8496B0" w:themeFill="text2" w:themeFillTint="99"/>
          </w:tcPr>
          <w:p w14:paraId="36A50916" w14:textId="77777777" w:rsidR="00AE1DCA" w:rsidRPr="003E069D" w:rsidRDefault="00AE1DCA" w:rsidP="00A855C3">
            <w:pPr>
              <w:rPr>
                <w:rFonts w:ascii="Century Gothic" w:hAnsi="Century Gothic"/>
              </w:rPr>
            </w:pPr>
            <w:r w:rsidRPr="003E069D">
              <w:rPr>
                <w:rFonts w:ascii="Century Gothic" w:hAnsi="Century Gothic"/>
              </w:rPr>
              <w:t>Criterion</w:t>
            </w:r>
          </w:p>
        </w:tc>
        <w:tc>
          <w:tcPr>
            <w:tcW w:w="6804" w:type="dxa"/>
            <w:shd w:val="clear" w:color="auto" w:fill="8496B0" w:themeFill="text2" w:themeFillTint="99"/>
          </w:tcPr>
          <w:p w14:paraId="745A5732" w14:textId="77777777" w:rsidR="00AE1DCA" w:rsidRPr="003E069D" w:rsidRDefault="00AE1DCA" w:rsidP="00A855C3">
            <w:pPr>
              <w:rPr>
                <w:rFonts w:ascii="Century Gothic" w:hAnsi="Century Gothic"/>
              </w:rPr>
            </w:pPr>
            <w:r w:rsidRPr="003E069D">
              <w:rPr>
                <w:rFonts w:ascii="Century Gothic" w:hAnsi="Century Gothic"/>
              </w:rPr>
              <w:t xml:space="preserve">Description /evidence required </w:t>
            </w:r>
          </w:p>
        </w:tc>
        <w:tc>
          <w:tcPr>
            <w:tcW w:w="2835" w:type="dxa"/>
            <w:shd w:val="clear" w:color="auto" w:fill="8496B0" w:themeFill="text2" w:themeFillTint="99"/>
          </w:tcPr>
          <w:p w14:paraId="48D020EF" w14:textId="40EBB2E0" w:rsidR="00AE1DCA" w:rsidRPr="003E069D" w:rsidRDefault="00AE1DCA" w:rsidP="00A855C3">
            <w:pPr>
              <w:rPr>
                <w:rFonts w:ascii="Century Gothic" w:hAnsi="Century Gothic"/>
              </w:rPr>
            </w:pPr>
            <w:r w:rsidRPr="003E069D">
              <w:rPr>
                <w:rFonts w:ascii="Century Gothic" w:hAnsi="Century Gothic"/>
              </w:rPr>
              <w:t>Included (Page references)</w:t>
            </w:r>
          </w:p>
        </w:tc>
        <w:tc>
          <w:tcPr>
            <w:tcW w:w="2835" w:type="dxa"/>
            <w:shd w:val="clear" w:color="auto" w:fill="8496B0" w:themeFill="text2" w:themeFillTint="99"/>
          </w:tcPr>
          <w:p w14:paraId="738C4FC1" w14:textId="77777777" w:rsidR="00AE1DCA" w:rsidRPr="003E069D" w:rsidRDefault="00AE1DCA" w:rsidP="00A855C3">
            <w:pPr>
              <w:rPr>
                <w:rFonts w:ascii="Century Gothic" w:hAnsi="Century Gothic"/>
              </w:rPr>
            </w:pPr>
            <w:r w:rsidRPr="003E069D">
              <w:rPr>
                <w:rFonts w:ascii="Century Gothic" w:hAnsi="Century Gothic"/>
              </w:rPr>
              <w:t xml:space="preserve">Comments </w:t>
            </w:r>
          </w:p>
        </w:tc>
      </w:tr>
      <w:tr w:rsidR="00AE1DCA" w:rsidRPr="003E069D" w14:paraId="4ED3FFDE" w14:textId="77777777" w:rsidTr="00110F97">
        <w:tc>
          <w:tcPr>
            <w:tcW w:w="1986" w:type="dxa"/>
          </w:tcPr>
          <w:p w14:paraId="73A4CF10" w14:textId="18A6B132" w:rsidR="00AE1DCA" w:rsidRPr="003E069D" w:rsidRDefault="00AE1DCA" w:rsidP="00A855C3">
            <w:pPr>
              <w:rPr>
                <w:rFonts w:ascii="Century Gothic" w:hAnsi="Century Gothic"/>
              </w:rPr>
            </w:pPr>
            <w:r w:rsidRPr="003E069D">
              <w:rPr>
                <w:rFonts w:ascii="Century Gothic" w:hAnsi="Century Gothic"/>
              </w:rPr>
              <w:t xml:space="preserve">Opening Statement </w:t>
            </w:r>
          </w:p>
        </w:tc>
        <w:tc>
          <w:tcPr>
            <w:tcW w:w="6804" w:type="dxa"/>
          </w:tcPr>
          <w:p w14:paraId="4D5D0A14" w14:textId="113528B5" w:rsidR="00AE1DCA" w:rsidRPr="003E069D" w:rsidRDefault="00AE1DCA" w:rsidP="00A855C3">
            <w:pPr>
              <w:rPr>
                <w:rFonts w:ascii="Century Gothic" w:hAnsi="Century Gothic"/>
              </w:rPr>
            </w:pPr>
            <w:r w:rsidRPr="003E069D">
              <w:rPr>
                <w:rFonts w:ascii="Century Gothic" w:hAnsi="Century Gothic"/>
              </w:rPr>
              <w:t>The opening statement should include the following;</w:t>
            </w:r>
          </w:p>
          <w:p w14:paraId="3F676472" w14:textId="7C854832" w:rsidR="00F435E7" w:rsidRPr="003E069D" w:rsidRDefault="00F435E7" w:rsidP="00A855C3">
            <w:pPr>
              <w:rPr>
                <w:rFonts w:ascii="Century Gothic" w:hAnsi="Century Gothic"/>
              </w:rPr>
            </w:pPr>
          </w:p>
          <w:p w14:paraId="202F9DC0" w14:textId="1CB055A5" w:rsidR="00F435E7" w:rsidRPr="003E069D" w:rsidRDefault="00F435E7" w:rsidP="00A855C3">
            <w:pPr>
              <w:rPr>
                <w:rFonts w:ascii="Century Gothic" w:hAnsi="Century Gothic"/>
              </w:rPr>
            </w:pPr>
            <w:r w:rsidRPr="003E069D">
              <w:rPr>
                <w:rFonts w:ascii="Century Gothic" w:hAnsi="Century Gothic"/>
              </w:rPr>
              <w:t>A named contact to lead the project from the HEI</w:t>
            </w:r>
          </w:p>
          <w:p w14:paraId="1BA878A9" w14:textId="77777777" w:rsidR="00AE1DCA" w:rsidRPr="003E069D" w:rsidRDefault="00AE1DCA" w:rsidP="00A855C3">
            <w:pPr>
              <w:rPr>
                <w:rFonts w:ascii="Century Gothic" w:hAnsi="Century Gothic"/>
              </w:rPr>
            </w:pPr>
          </w:p>
          <w:p w14:paraId="084186D1" w14:textId="77777777" w:rsidR="00AE1DCA" w:rsidRPr="003E069D" w:rsidRDefault="00AE1DCA" w:rsidP="00AE1DCA">
            <w:pPr>
              <w:rPr>
                <w:rFonts w:ascii="Century Gothic" w:hAnsi="Century Gothic"/>
              </w:rPr>
            </w:pPr>
            <w:r w:rsidRPr="003E069D">
              <w:rPr>
                <w:rFonts w:ascii="Century Gothic" w:hAnsi="Century Gothic"/>
              </w:rPr>
              <w:t>HEI award &amp; validation: indicating the status of the HEI in relation to degree awarding powers and validation</w:t>
            </w:r>
          </w:p>
          <w:p w14:paraId="59ADF747" w14:textId="1B11320E" w:rsidR="00AE1DCA" w:rsidRPr="003E069D" w:rsidRDefault="00AE1DCA" w:rsidP="00AE1DCA">
            <w:pPr>
              <w:rPr>
                <w:rFonts w:ascii="Century Gothic" w:hAnsi="Century Gothic"/>
              </w:rPr>
            </w:pPr>
          </w:p>
          <w:p w14:paraId="104383AC" w14:textId="77777777" w:rsidR="004F5418" w:rsidRPr="003E069D" w:rsidRDefault="00AE1DCA" w:rsidP="004F5418">
            <w:pPr>
              <w:rPr>
                <w:rFonts w:ascii="Century Gothic" w:hAnsi="Century Gothic"/>
              </w:rPr>
            </w:pPr>
            <w:r w:rsidRPr="003E069D">
              <w:rPr>
                <w:rFonts w:ascii="Century Gothic" w:hAnsi="Century Gothic"/>
              </w:rPr>
              <w:t>Distance learning capacity: Indicate the option for blended/distance learning provision of the course content, assessment and exit award</w:t>
            </w:r>
          </w:p>
          <w:p w14:paraId="06287292" w14:textId="77777777" w:rsidR="004F5418" w:rsidRPr="003E069D" w:rsidRDefault="004F5418" w:rsidP="004F5418">
            <w:pPr>
              <w:rPr>
                <w:rFonts w:ascii="Century Gothic" w:hAnsi="Century Gothic"/>
              </w:rPr>
            </w:pPr>
          </w:p>
          <w:p w14:paraId="4691C92E" w14:textId="4E3DEFEA" w:rsidR="004F5418" w:rsidRPr="003E069D" w:rsidRDefault="004F5418" w:rsidP="004F5418">
            <w:pPr>
              <w:rPr>
                <w:rFonts w:ascii="Century Gothic" w:hAnsi="Century Gothic" w:cstheme="minorHAnsi"/>
              </w:rPr>
            </w:pPr>
            <w:r w:rsidRPr="003E069D">
              <w:rPr>
                <w:rFonts w:ascii="Century Gothic" w:hAnsi="Century Gothic" w:cstheme="minorHAnsi"/>
              </w:rPr>
              <w:t xml:space="preserve">Demonstrate how the programme is managed and resourced to: </w:t>
            </w:r>
          </w:p>
          <w:p w14:paraId="61DFB53D" w14:textId="77777777" w:rsidR="004F5418" w:rsidRPr="003E069D" w:rsidRDefault="004F5418" w:rsidP="004F5418">
            <w:pPr>
              <w:pStyle w:val="NormalWeb"/>
              <w:numPr>
                <w:ilvl w:val="0"/>
                <w:numId w:val="14"/>
              </w:numPr>
              <w:rPr>
                <w:rFonts w:ascii="Century Gothic" w:hAnsi="Century Gothic" w:cstheme="minorHAnsi"/>
              </w:rPr>
            </w:pPr>
            <w:r w:rsidRPr="003E069D">
              <w:rPr>
                <w:rFonts w:ascii="Century Gothic" w:hAnsi="Century Gothic" w:cstheme="minorHAnsi"/>
              </w:rPr>
              <w:t xml:space="preserve">Provide a high-quality learning experience </w:t>
            </w:r>
          </w:p>
          <w:p w14:paraId="5E38C298" w14:textId="77777777" w:rsidR="004F5418" w:rsidRPr="003E069D" w:rsidRDefault="004F5418" w:rsidP="004F5418">
            <w:pPr>
              <w:pStyle w:val="NormalWeb"/>
              <w:numPr>
                <w:ilvl w:val="0"/>
                <w:numId w:val="14"/>
              </w:numPr>
              <w:rPr>
                <w:rFonts w:ascii="Century Gothic" w:hAnsi="Century Gothic" w:cstheme="minorHAnsi"/>
              </w:rPr>
            </w:pPr>
            <w:r w:rsidRPr="003E069D">
              <w:rPr>
                <w:rFonts w:ascii="Century Gothic" w:hAnsi="Century Gothic" w:cstheme="minorHAnsi"/>
              </w:rPr>
              <w:t xml:space="preserve">Maintain the programme’s viability and sustainability </w:t>
            </w:r>
          </w:p>
          <w:p w14:paraId="428E2E77" w14:textId="77777777" w:rsidR="004F5418" w:rsidRPr="003E069D" w:rsidRDefault="004F5418" w:rsidP="004F5418">
            <w:pPr>
              <w:pStyle w:val="NormalWeb"/>
              <w:numPr>
                <w:ilvl w:val="0"/>
                <w:numId w:val="14"/>
              </w:numPr>
              <w:rPr>
                <w:rFonts w:ascii="Century Gothic" w:hAnsi="Century Gothic" w:cstheme="minorHAnsi"/>
              </w:rPr>
            </w:pPr>
            <w:r w:rsidRPr="003E069D">
              <w:rPr>
                <w:rFonts w:ascii="Century Gothic" w:hAnsi="Century Gothic" w:cstheme="minorHAnsi"/>
              </w:rPr>
              <w:t xml:space="preserve">Ensure risks, issues and opportunities are kept under regular review and appropriately managed and optimised. </w:t>
            </w:r>
          </w:p>
          <w:p w14:paraId="14A88E74" w14:textId="32DC9B57" w:rsidR="00AE1DCA" w:rsidRPr="003E069D" w:rsidRDefault="004F5418" w:rsidP="00F435E7">
            <w:pPr>
              <w:pStyle w:val="NormalWeb"/>
              <w:numPr>
                <w:ilvl w:val="0"/>
                <w:numId w:val="14"/>
              </w:numPr>
              <w:rPr>
                <w:rFonts w:ascii="Century Gothic" w:hAnsi="Century Gothic" w:cstheme="minorHAnsi"/>
              </w:rPr>
            </w:pPr>
            <w:r w:rsidRPr="003E069D">
              <w:rPr>
                <w:rFonts w:ascii="Century Gothic" w:hAnsi="Century Gothic" w:cstheme="minorHAnsi"/>
              </w:rPr>
              <w:t xml:space="preserve">Seek to build capacity and to sustain the programme’s ongoing delivery, including through encouraging and enabling alumni to contribute to the learning of future cohorts. </w:t>
            </w:r>
          </w:p>
        </w:tc>
        <w:tc>
          <w:tcPr>
            <w:tcW w:w="2835" w:type="dxa"/>
          </w:tcPr>
          <w:p w14:paraId="216DB283" w14:textId="77777777" w:rsidR="00AE1DCA" w:rsidRPr="003E069D" w:rsidRDefault="00AE1DCA" w:rsidP="00A855C3">
            <w:pPr>
              <w:rPr>
                <w:rFonts w:ascii="Century Gothic" w:hAnsi="Century Gothic"/>
              </w:rPr>
            </w:pPr>
          </w:p>
        </w:tc>
        <w:tc>
          <w:tcPr>
            <w:tcW w:w="2835" w:type="dxa"/>
          </w:tcPr>
          <w:p w14:paraId="0866122D" w14:textId="77777777" w:rsidR="00AE1DCA" w:rsidRPr="003E069D" w:rsidRDefault="00AE1DCA" w:rsidP="00A855C3">
            <w:pPr>
              <w:rPr>
                <w:rFonts w:ascii="Century Gothic" w:hAnsi="Century Gothic"/>
              </w:rPr>
            </w:pPr>
          </w:p>
        </w:tc>
      </w:tr>
      <w:tr w:rsidR="00AE1DCA" w:rsidRPr="003E069D" w14:paraId="1FB10A3D" w14:textId="77777777" w:rsidTr="00110F97">
        <w:tc>
          <w:tcPr>
            <w:tcW w:w="1986" w:type="dxa"/>
          </w:tcPr>
          <w:p w14:paraId="139E22D2" w14:textId="6450CD93" w:rsidR="00AE1DCA" w:rsidRPr="003E069D" w:rsidRDefault="00AE1DCA" w:rsidP="00A855C3">
            <w:pPr>
              <w:rPr>
                <w:rFonts w:ascii="Century Gothic" w:hAnsi="Century Gothic"/>
              </w:rPr>
            </w:pPr>
            <w:r w:rsidRPr="003E069D">
              <w:rPr>
                <w:rFonts w:ascii="Century Gothic" w:hAnsi="Century Gothic"/>
              </w:rPr>
              <w:t>Resource capacity</w:t>
            </w:r>
          </w:p>
        </w:tc>
        <w:tc>
          <w:tcPr>
            <w:tcW w:w="6804" w:type="dxa"/>
          </w:tcPr>
          <w:p w14:paraId="5163CF77" w14:textId="77777777" w:rsidR="00AE1DCA" w:rsidRPr="003E069D" w:rsidRDefault="00AE1DCA" w:rsidP="00A855C3">
            <w:pPr>
              <w:rPr>
                <w:rFonts w:ascii="Century Gothic" w:hAnsi="Century Gothic"/>
              </w:rPr>
            </w:pPr>
            <w:r w:rsidRPr="003E069D">
              <w:rPr>
                <w:rFonts w:ascii="Century Gothic" w:hAnsi="Century Gothic"/>
              </w:rPr>
              <w:t>Written assurances from the CEO (vice-chancellor) that appropriate capital and revenue funding will be maintained throughout the accreditation period, must be included within the submission.</w:t>
            </w:r>
          </w:p>
          <w:p w14:paraId="34AA8085" w14:textId="23E2DDCD" w:rsidR="00AE1DCA" w:rsidRPr="003E069D" w:rsidRDefault="00AE1DCA" w:rsidP="00A855C3">
            <w:pPr>
              <w:rPr>
                <w:rFonts w:ascii="Century Gothic" w:hAnsi="Century Gothic"/>
              </w:rPr>
            </w:pPr>
          </w:p>
        </w:tc>
        <w:tc>
          <w:tcPr>
            <w:tcW w:w="2835" w:type="dxa"/>
          </w:tcPr>
          <w:p w14:paraId="0C114AEE" w14:textId="77777777" w:rsidR="00AE1DCA" w:rsidRPr="003E069D" w:rsidRDefault="00AE1DCA" w:rsidP="00A855C3">
            <w:pPr>
              <w:rPr>
                <w:rFonts w:ascii="Century Gothic" w:hAnsi="Century Gothic"/>
              </w:rPr>
            </w:pPr>
          </w:p>
        </w:tc>
        <w:tc>
          <w:tcPr>
            <w:tcW w:w="2835" w:type="dxa"/>
          </w:tcPr>
          <w:p w14:paraId="0E74536C" w14:textId="77777777" w:rsidR="00AE1DCA" w:rsidRPr="003E069D" w:rsidRDefault="00AE1DCA" w:rsidP="00A855C3">
            <w:pPr>
              <w:rPr>
                <w:rFonts w:ascii="Century Gothic" w:hAnsi="Century Gothic"/>
              </w:rPr>
            </w:pPr>
          </w:p>
        </w:tc>
      </w:tr>
      <w:tr w:rsidR="00AE1DCA" w:rsidRPr="003E069D" w14:paraId="1E016FD2" w14:textId="77777777" w:rsidTr="00110F97">
        <w:tc>
          <w:tcPr>
            <w:tcW w:w="1986" w:type="dxa"/>
          </w:tcPr>
          <w:p w14:paraId="4E214764" w14:textId="4D1154D1" w:rsidR="00AE1DCA" w:rsidRPr="003E069D" w:rsidRDefault="00AE1DCA" w:rsidP="00A855C3">
            <w:pPr>
              <w:rPr>
                <w:rFonts w:ascii="Century Gothic" w:hAnsi="Century Gothic"/>
              </w:rPr>
            </w:pPr>
            <w:r w:rsidRPr="003E069D">
              <w:rPr>
                <w:rFonts w:ascii="Century Gothic" w:hAnsi="Century Gothic"/>
              </w:rPr>
              <w:t xml:space="preserve">Quality outcomes </w:t>
            </w:r>
          </w:p>
        </w:tc>
        <w:tc>
          <w:tcPr>
            <w:tcW w:w="6804" w:type="dxa"/>
          </w:tcPr>
          <w:p w14:paraId="7863D3FD" w14:textId="77777777" w:rsidR="00AE1DCA" w:rsidRPr="003E069D" w:rsidRDefault="00AE1DCA" w:rsidP="00A855C3">
            <w:pPr>
              <w:rPr>
                <w:rFonts w:ascii="Century Gothic" w:hAnsi="Century Gothic"/>
                <w:color w:val="000000" w:themeColor="text1"/>
              </w:rPr>
            </w:pPr>
            <w:r w:rsidRPr="003E069D">
              <w:rPr>
                <w:rFonts w:ascii="Century Gothic" w:hAnsi="Century Gothic"/>
                <w:color w:val="000000" w:themeColor="text1"/>
              </w:rPr>
              <w:t>The proposal should include a summary of the outcomes of any relevant external review. This would include QAA institutional audits, developmental engagements and major reviews and clinical audits of the proposed practice areas. The report of the most recent internal faculty/school/departmental review of quality management should be included within the submission.</w:t>
            </w:r>
          </w:p>
          <w:p w14:paraId="6DBCA968" w14:textId="37ACB9E2" w:rsidR="00FE690F" w:rsidRPr="003E069D" w:rsidRDefault="00FE690F" w:rsidP="00A855C3">
            <w:pPr>
              <w:rPr>
                <w:rFonts w:ascii="Century Gothic" w:hAnsi="Century Gothic"/>
                <w:color w:val="FF0000"/>
              </w:rPr>
            </w:pPr>
          </w:p>
        </w:tc>
        <w:tc>
          <w:tcPr>
            <w:tcW w:w="2835" w:type="dxa"/>
          </w:tcPr>
          <w:p w14:paraId="79BBF210" w14:textId="77777777" w:rsidR="00AE1DCA" w:rsidRPr="003E069D" w:rsidRDefault="00AE1DCA" w:rsidP="00A855C3">
            <w:pPr>
              <w:rPr>
                <w:rFonts w:ascii="Century Gothic" w:hAnsi="Century Gothic"/>
              </w:rPr>
            </w:pPr>
          </w:p>
        </w:tc>
        <w:tc>
          <w:tcPr>
            <w:tcW w:w="2835" w:type="dxa"/>
          </w:tcPr>
          <w:p w14:paraId="3A42569C" w14:textId="77777777" w:rsidR="00AE1DCA" w:rsidRPr="003E069D" w:rsidRDefault="00AE1DCA" w:rsidP="00A855C3">
            <w:pPr>
              <w:rPr>
                <w:rFonts w:ascii="Century Gothic" w:hAnsi="Century Gothic"/>
              </w:rPr>
            </w:pPr>
          </w:p>
        </w:tc>
      </w:tr>
      <w:tr w:rsidR="00AE1DCA" w:rsidRPr="003E069D" w14:paraId="16EC6923" w14:textId="77777777" w:rsidTr="00110F97">
        <w:tc>
          <w:tcPr>
            <w:tcW w:w="1986" w:type="dxa"/>
          </w:tcPr>
          <w:p w14:paraId="382B9A44" w14:textId="5E191716" w:rsidR="00AE1DCA" w:rsidRPr="003E069D" w:rsidRDefault="00AE1DCA" w:rsidP="00A855C3">
            <w:pPr>
              <w:rPr>
                <w:rFonts w:ascii="Century Gothic" w:hAnsi="Century Gothic"/>
              </w:rPr>
            </w:pPr>
            <w:r w:rsidRPr="003E069D">
              <w:rPr>
                <w:rFonts w:ascii="Century Gothic" w:hAnsi="Century Gothic"/>
              </w:rPr>
              <w:lastRenderedPageBreak/>
              <w:t xml:space="preserve">Admission criteria &amp; process </w:t>
            </w:r>
          </w:p>
        </w:tc>
        <w:tc>
          <w:tcPr>
            <w:tcW w:w="6804" w:type="dxa"/>
          </w:tcPr>
          <w:p w14:paraId="690A9C75" w14:textId="5E551DD1" w:rsidR="00AE1DCA" w:rsidRPr="003E069D" w:rsidRDefault="00AE1DCA" w:rsidP="00A855C3">
            <w:pPr>
              <w:rPr>
                <w:rFonts w:ascii="Century Gothic" w:hAnsi="Century Gothic"/>
              </w:rPr>
            </w:pPr>
            <w:r w:rsidRPr="003E069D">
              <w:rPr>
                <w:rFonts w:ascii="Century Gothic" w:hAnsi="Century Gothic"/>
              </w:rPr>
              <w:t>The submission must detail policies and procedures for the admission of students to the programme. This should specify minimum entry requirements, selection criteria, APL and admission with advanced standing.</w:t>
            </w:r>
          </w:p>
          <w:p w14:paraId="0265B931" w14:textId="137E2D3F" w:rsidR="00AE1DCA" w:rsidRPr="003E069D" w:rsidRDefault="00AE1DCA" w:rsidP="00A855C3">
            <w:pPr>
              <w:rPr>
                <w:rFonts w:ascii="Century Gothic" w:hAnsi="Century Gothic"/>
              </w:rPr>
            </w:pPr>
          </w:p>
          <w:p w14:paraId="6A9A9650" w14:textId="7E31EA40" w:rsidR="00AE1DCA" w:rsidRPr="003E069D" w:rsidRDefault="00AE1DCA" w:rsidP="00A855C3">
            <w:pPr>
              <w:rPr>
                <w:rFonts w:ascii="Century Gothic" w:hAnsi="Century Gothic"/>
              </w:rPr>
            </w:pPr>
            <w:r w:rsidRPr="003E069D">
              <w:rPr>
                <w:rFonts w:ascii="Century Gothic" w:hAnsi="Century Gothic"/>
              </w:rPr>
              <w:t>Specimen pre-entry materials must be included within the submission. These must be accurate in describing the course and the relationship with the Faculty.</w:t>
            </w:r>
          </w:p>
          <w:p w14:paraId="5BF4855F" w14:textId="4EAD6B8C" w:rsidR="00F77EAB" w:rsidRPr="003E069D" w:rsidRDefault="00F77EAB" w:rsidP="00A855C3">
            <w:pPr>
              <w:rPr>
                <w:rFonts w:ascii="Century Gothic" w:hAnsi="Century Gothic"/>
              </w:rPr>
            </w:pPr>
          </w:p>
          <w:p w14:paraId="6E03B21F" w14:textId="1BECE1B6" w:rsidR="00F77EAB" w:rsidRPr="003E069D" w:rsidRDefault="00F77EAB" w:rsidP="00A855C3">
            <w:pPr>
              <w:rPr>
                <w:rFonts w:ascii="Century Gothic" w:hAnsi="Century Gothic"/>
              </w:rPr>
            </w:pPr>
            <w:r w:rsidRPr="003E069D">
              <w:rPr>
                <w:rFonts w:ascii="Century Gothic" w:hAnsi="Century Gothic"/>
              </w:rPr>
              <w:t>The submission must detail the size of cohorts.</w:t>
            </w:r>
          </w:p>
          <w:p w14:paraId="0B91DA5D" w14:textId="7572C692" w:rsidR="00CF0469" w:rsidRPr="003E069D" w:rsidRDefault="00CF0469" w:rsidP="00A855C3">
            <w:pPr>
              <w:rPr>
                <w:rFonts w:ascii="Century Gothic" w:hAnsi="Century Gothic"/>
              </w:rPr>
            </w:pPr>
          </w:p>
          <w:p w14:paraId="6233164A" w14:textId="0EEB84B2" w:rsidR="0086631A" w:rsidRPr="003E069D" w:rsidRDefault="00CF0469" w:rsidP="0086631A">
            <w:pPr>
              <w:rPr>
                <w:rFonts w:ascii="Century Gothic" w:hAnsi="Century Gothic"/>
                <w:color w:val="000000" w:themeColor="text1"/>
              </w:rPr>
            </w:pPr>
            <w:r w:rsidRPr="003E069D">
              <w:rPr>
                <w:rFonts w:ascii="Century Gothic" w:hAnsi="Century Gothic"/>
                <w:color w:val="000000" w:themeColor="text1"/>
              </w:rPr>
              <w:t>Details of inductions for new students must be included within the submission. Students must be made aware of all of the university’s services and facilities. This is particularly important for students who are not on the university site full-time.</w:t>
            </w:r>
          </w:p>
          <w:p w14:paraId="131F8B6A" w14:textId="2E2D0E9B" w:rsidR="0086631A" w:rsidRPr="003E069D" w:rsidRDefault="0086631A" w:rsidP="0086631A">
            <w:pPr>
              <w:pStyle w:val="NormalWeb"/>
              <w:rPr>
                <w:rFonts w:ascii="Century Gothic" w:hAnsi="Century Gothic" w:cstheme="minorHAnsi"/>
              </w:rPr>
            </w:pPr>
            <w:r w:rsidRPr="003E069D">
              <w:rPr>
                <w:rFonts w:ascii="Century Gothic" w:hAnsi="Century Gothic" w:cstheme="minorHAnsi"/>
              </w:rPr>
              <w:t xml:space="preserve">Evidence that equality and diversity policies underpin all aspects of the programme’s delivery (including its admission processes), with their implementation monitored to foster equality of opportunity and to respect diversity. </w:t>
            </w:r>
          </w:p>
          <w:p w14:paraId="3FB1D464" w14:textId="77777777" w:rsidR="0086631A" w:rsidRPr="003E069D" w:rsidRDefault="0086631A" w:rsidP="00CF0469">
            <w:pPr>
              <w:rPr>
                <w:rFonts w:ascii="Century Gothic" w:hAnsi="Century Gothic"/>
                <w:color w:val="000000" w:themeColor="text1"/>
              </w:rPr>
            </w:pPr>
          </w:p>
          <w:p w14:paraId="12375633" w14:textId="6FF29DB8" w:rsidR="00FB0AD9" w:rsidRPr="003E069D" w:rsidRDefault="00FB0AD9" w:rsidP="00CF0469">
            <w:pPr>
              <w:rPr>
                <w:rFonts w:ascii="Century Gothic" w:hAnsi="Century Gothic"/>
                <w:color w:val="000000" w:themeColor="text1"/>
              </w:rPr>
            </w:pPr>
          </w:p>
          <w:p w14:paraId="75438233" w14:textId="4D351B67" w:rsidR="00FB0AD9" w:rsidRPr="003E069D" w:rsidRDefault="00FB0AD9" w:rsidP="00FB0AD9">
            <w:pPr>
              <w:rPr>
                <w:rFonts w:ascii="Century Gothic" w:hAnsi="Century Gothic"/>
                <w:color w:val="000000" w:themeColor="text1"/>
              </w:rPr>
            </w:pPr>
            <w:r w:rsidRPr="003E069D">
              <w:rPr>
                <w:rFonts w:ascii="Century Gothic" w:hAnsi="Century Gothic"/>
                <w:color w:val="000000" w:themeColor="text1"/>
              </w:rPr>
              <w:t>Please Note: Trainees must be an NMC or HCPC registered professional, eligible to undertake Non-Medical Prescribing qualification*As current legislation stands, this would not include ODPs</w:t>
            </w:r>
          </w:p>
          <w:p w14:paraId="39E6E373" w14:textId="77777777" w:rsidR="00FB0AD9" w:rsidRPr="003E069D" w:rsidRDefault="00FB0AD9" w:rsidP="00FB0AD9">
            <w:pPr>
              <w:rPr>
                <w:rFonts w:ascii="Century Gothic" w:hAnsi="Century Gothic"/>
                <w:color w:val="000000" w:themeColor="text1"/>
              </w:rPr>
            </w:pPr>
            <w:r w:rsidRPr="003E069D">
              <w:rPr>
                <w:rFonts w:ascii="Century Gothic" w:hAnsi="Century Gothic"/>
                <w:color w:val="000000" w:themeColor="text1"/>
              </w:rPr>
              <w:t>Trainees must have appropriate recent Critical Care experience</w:t>
            </w:r>
          </w:p>
          <w:p w14:paraId="69B0959B" w14:textId="77777777" w:rsidR="00FB0AD9" w:rsidRPr="003E069D" w:rsidRDefault="00FB0AD9" w:rsidP="00FB0AD9">
            <w:pPr>
              <w:rPr>
                <w:rFonts w:ascii="Century Gothic" w:hAnsi="Century Gothic"/>
                <w:color w:val="000000" w:themeColor="text1"/>
              </w:rPr>
            </w:pPr>
            <w:r w:rsidRPr="003E069D">
              <w:rPr>
                <w:rFonts w:ascii="Century Gothic" w:hAnsi="Century Gothic"/>
                <w:color w:val="000000" w:themeColor="text1"/>
              </w:rPr>
              <w:t>Trainees must be able to demonstrate evidence of continuing professional development in Critical Care</w:t>
            </w:r>
          </w:p>
          <w:p w14:paraId="36684B8D" w14:textId="77777777" w:rsidR="00FB0AD9" w:rsidRPr="003E069D" w:rsidRDefault="00FB0AD9" w:rsidP="00FB0AD9">
            <w:pPr>
              <w:rPr>
                <w:rFonts w:ascii="Century Gothic" w:hAnsi="Century Gothic"/>
                <w:color w:val="000000" w:themeColor="text1"/>
              </w:rPr>
            </w:pPr>
            <w:r w:rsidRPr="003E069D">
              <w:rPr>
                <w:rFonts w:ascii="Century Gothic" w:hAnsi="Century Gothic"/>
                <w:color w:val="000000" w:themeColor="text1"/>
              </w:rPr>
              <w:t>Trainees must have a bachelor-level degree or be able to demonstrate academic ability at degree level</w:t>
            </w:r>
          </w:p>
          <w:p w14:paraId="5A273DCF" w14:textId="77777777" w:rsidR="00FB0AD9" w:rsidRPr="003E069D" w:rsidRDefault="00FB0AD9" w:rsidP="00FB0AD9">
            <w:pPr>
              <w:rPr>
                <w:rFonts w:ascii="Century Gothic" w:hAnsi="Century Gothic"/>
                <w:color w:val="000000" w:themeColor="text1"/>
              </w:rPr>
            </w:pPr>
            <w:r w:rsidRPr="003E069D">
              <w:rPr>
                <w:rFonts w:ascii="Century Gothic" w:hAnsi="Century Gothic"/>
                <w:color w:val="000000" w:themeColor="text1"/>
              </w:rPr>
              <w:lastRenderedPageBreak/>
              <w:t>Trainees must have successfully completed a robust selection process which includes a clinical and academic assessment</w:t>
            </w:r>
          </w:p>
          <w:p w14:paraId="2E7B0305" w14:textId="77777777" w:rsidR="00FB0AD9" w:rsidRPr="003E069D" w:rsidRDefault="00FB0AD9" w:rsidP="00FB0AD9">
            <w:pPr>
              <w:rPr>
                <w:rFonts w:ascii="Century Gothic" w:hAnsi="Century Gothic"/>
                <w:color w:val="000000" w:themeColor="text1"/>
              </w:rPr>
            </w:pPr>
            <w:r w:rsidRPr="003E069D">
              <w:rPr>
                <w:rFonts w:ascii="Century Gothic" w:hAnsi="Century Gothic"/>
                <w:color w:val="000000" w:themeColor="text1"/>
              </w:rPr>
              <w:t>Trainees must be in a substantive, recognised ACCP post, having successfully met individual trust/board selection procedure in terms of skills and relevant experience</w:t>
            </w:r>
          </w:p>
          <w:p w14:paraId="402FA1F8" w14:textId="77777777" w:rsidR="00FB0AD9" w:rsidRPr="003E069D" w:rsidRDefault="00FB0AD9" w:rsidP="00FB0AD9">
            <w:pPr>
              <w:rPr>
                <w:rFonts w:ascii="Century Gothic" w:hAnsi="Century Gothic"/>
                <w:color w:val="000000" w:themeColor="text1"/>
              </w:rPr>
            </w:pPr>
            <w:r w:rsidRPr="003E069D">
              <w:rPr>
                <w:rFonts w:ascii="Century Gothic" w:hAnsi="Century Gothic"/>
                <w:color w:val="000000" w:themeColor="text1"/>
              </w:rPr>
              <w:t>Trainees must be entered into a programme leading to an appropriate Postgraduate Diploma/Master’s degree with a Higher Education Institution. This programme must include Non-Medical Prescribing</w:t>
            </w:r>
          </w:p>
          <w:p w14:paraId="7BC9E769" w14:textId="039793B8" w:rsidR="00AE1DCA" w:rsidRPr="003E069D" w:rsidRDefault="00AE1DCA" w:rsidP="00A855C3">
            <w:pPr>
              <w:rPr>
                <w:rFonts w:ascii="Century Gothic" w:hAnsi="Century Gothic"/>
              </w:rPr>
            </w:pPr>
          </w:p>
        </w:tc>
        <w:tc>
          <w:tcPr>
            <w:tcW w:w="2835" w:type="dxa"/>
          </w:tcPr>
          <w:p w14:paraId="0BBF96A4" w14:textId="77777777" w:rsidR="00AE1DCA" w:rsidRPr="003E069D" w:rsidRDefault="00AE1DCA" w:rsidP="00A855C3">
            <w:pPr>
              <w:rPr>
                <w:rFonts w:ascii="Century Gothic" w:hAnsi="Century Gothic"/>
              </w:rPr>
            </w:pPr>
          </w:p>
        </w:tc>
        <w:tc>
          <w:tcPr>
            <w:tcW w:w="2835" w:type="dxa"/>
          </w:tcPr>
          <w:p w14:paraId="5002CFD8" w14:textId="3426F8EB" w:rsidR="00AE1DCA" w:rsidRPr="003E069D" w:rsidRDefault="00AE1DCA" w:rsidP="00A855C3">
            <w:pPr>
              <w:rPr>
                <w:rFonts w:ascii="Century Gothic" w:hAnsi="Century Gothic"/>
              </w:rPr>
            </w:pPr>
          </w:p>
        </w:tc>
      </w:tr>
      <w:tr w:rsidR="00AE1DCA" w:rsidRPr="003E069D" w14:paraId="2095DB07" w14:textId="77777777" w:rsidTr="00110F97">
        <w:tc>
          <w:tcPr>
            <w:tcW w:w="1986" w:type="dxa"/>
          </w:tcPr>
          <w:p w14:paraId="18802A21" w14:textId="49D832FB" w:rsidR="00AE1DCA" w:rsidRPr="003E069D" w:rsidRDefault="00AE1DCA" w:rsidP="00A855C3">
            <w:pPr>
              <w:rPr>
                <w:rFonts w:ascii="Century Gothic" w:hAnsi="Century Gothic"/>
              </w:rPr>
            </w:pPr>
            <w:r w:rsidRPr="003E069D">
              <w:rPr>
                <w:rFonts w:ascii="Century Gothic" w:hAnsi="Century Gothic"/>
              </w:rPr>
              <w:t xml:space="preserve">Statutory requirements </w:t>
            </w:r>
          </w:p>
        </w:tc>
        <w:tc>
          <w:tcPr>
            <w:tcW w:w="6804" w:type="dxa"/>
          </w:tcPr>
          <w:p w14:paraId="1FFDF5A1" w14:textId="77777777" w:rsidR="00816C51" w:rsidRPr="003E069D" w:rsidRDefault="00AE1DCA" w:rsidP="00FB0AD9">
            <w:pPr>
              <w:rPr>
                <w:rFonts w:ascii="Century Gothic" w:hAnsi="Century Gothic"/>
              </w:rPr>
            </w:pPr>
            <w:r w:rsidRPr="003E069D">
              <w:rPr>
                <w:rFonts w:ascii="Century Gothic" w:hAnsi="Century Gothic"/>
              </w:rPr>
              <w:t>HEI mechanisms to verify that potential students satisfy all statutory requirements for employment within the National Health Service, including Criminal Records Bureau checks and actions resulting from disclosures must be included within the submission.</w:t>
            </w:r>
          </w:p>
          <w:p w14:paraId="07DCFFE5" w14:textId="1EB4FA95" w:rsidR="00FB0AD9" w:rsidRPr="003E069D" w:rsidRDefault="00FB0AD9" w:rsidP="00FB0AD9">
            <w:pPr>
              <w:rPr>
                <w:rFonts w:ascii="Century Gothic" w:hAnsi="Century Gothic"/>
              </w:rPr>
            </w:pPr>
          </w:p>
        </w:tc>
        <w:tc>
          <w:tcPr>
            <w:tcW w:w="2835" w:type="dxa"/>
          </w:tcPr>
          <w:p w14:paraId="4451A7BE" w14:textId="77777777" w:rsidR="00AE1DCA" w:rsidRPr="003E069D" w:rsidRDefault="00AE1DCA" w:rsidP="00A855C3">
            <w:pPr>
              <w:rPr>
                <w:rFonts w:ascii="Century Gothic" w:hAnsi="Century Gothic"/>
              </w:rPr>
            </w:pPr>
          </w:p>
        </w:tc>
        <w:tc>
          <w:tcPr>
            <w:tcW w:w="2835" w:type="dxa"/>
          </w:tcPr>
          <w:p w14:paraId="0B9CFCAB" w14:textId="77777777" w:rsidR="00AE1DCA" w:rsidRPr="003E069D" w:rsidRDefault="00AE1DCA" w:rsidP="00A855C3">
            <w:pPr>
              <w:rPr>
                <w:rFonts w:ascii="Century Gothic" w:hAnsi="Century Gothic"/>
              </w:rPr>
            </w:pPr>
          </w:p>
        </w:tc>
      </w:tr>
      <w:tr w:rsidR="00AE1DCA" w:rsidRPr="003E069D" w14:paraId="44594F1C" w14:textId="77777777" w:rsidTr="00110F97">
        <w:tc>
          <w:tcPr>
            <w:tcW w:w="1986" w:type="dxa"/>
          </w:tcPr>
          <w:p w14:paraId="30FF87A6" w14:textId="77777777" w:rsidR="00AE1DCA" w:rsidRPr="003E069D" w:rsidRDefault="00AE1DCA" w:rsidP="00A855C3">
            <w:pPr>
              <w:rPr>
                <w:rFonts w:ascii="Century Gothic" w:hAnsi="Century Gothic"/>
              </w:rPr>
            </w:pPr>
            <w:r w:rsidRPr="003E069D">
              <w:rPr>
                <w:rFonts w:ascii="Century Gothic" w:hAnsi="Century Gothic"/>
              </w:rPr>
              <w:t>University resources</w:t>
            </w:r>
          </w:p>
        </w:tc>
        <w:tc>
          <w:tcPr>
            <w:tcW w:w="6804" w:type="dxa"/>
          </w:tcPr>
          <w:p w14:paraId="29F41BB3" w14:textId="5A755925" w:rsidR="004C7D62" w:rsidRPr="003E069D" w:rsidRDefault="00AE1DCA" w:rsidP="004C7D62">
            <w:pPr>
              <w:rPr>
                <w:rFonts w:ascii="Century Gothic" w:hAnsi="Century Gothic"/>
              </w:rPr>
            </w:pPr>
            <w:r w:rsidRPr="003E069D">
              <w:rPr>
                <w:rFonts w:ascii="Century Gothic" w:hAnsi="Century Gothic"/>
              </w:rPr>
              <w:t>A statement of resources must be included within the submission and should detail teaching accommodation, equipment and physical resources learning materials and resources including book stock and electronic media</w:t>
            </w:r>
            <w:r w:rsidR="004C7D62" w:rsidRPr="003E069D">
              <w:rPr>
                <w:rFonts w:ascii="Century Gothic" w:hAnsi="Century Gothic"/>
              </w:rPr>
              <w:t xml:space="preserve">. </w:t>
            </w:r>
          </w:p>
          <w:p w14:paraId="5603B9FA" w14:textId="33A6C1BC" w:rsidR="00FE690F" w:rsidRPr="003E069D" w:rsidRDefault="00FE690F" w:rsidP="00A855C3">
            <w:pPr>
              <w:rPr>
                <w:rFonts w:ascii="Century Gothic" w:hAnsi="Century Gothic"/>
              </w:rPr>
            </w:pPr>
          </w:p>
        </w:tc>
        <w:tc>
          <w:tcPr>
            <w:tcW w:w="2835" w:type="dxa"/>
          </w:tcPr>
          <w:p w14:paraId="6802A161" w14:textId="77777777" w:rsidR="00AE1DCA" w:rsidRPr="003E069D" w:rsidRDefault="00AE1DCA" w:rsidP="00A855C3">
            <w:pPr>
              <w:rPr>
                <w:rFonts w:ascii="Century Gothic" w:hAnsi="Century Gothic"/>
              </w:rPr>
            </w:pPr>
          </w:p>
        </w:tc>
        <w:tc>
          <w:tcPr>
            <w:tcW w:w="2835" w:type="dxa"/>
          </w:tcPr>
          <w:p w14:paraId="47F60637" w14:textId="77777777" w:rsidR="00AE1DCA" w:rsidRPr="003E069D" w:rsidRDefault="00AE1DCA" w:rsidP="00A855C3">
            <w:pPr>
              <w:rPr>
                <w:rFonts w:ascii="Century Gothic" w:hAnsi="Century Gothic"/>
              </w:rPr>
            </w:pPr>
          </w:p>
        </w:tc>
      </w:tr>
      <w:tr w:rsidR="00FE690F" w:rsidRPr="003E069D" w14:paraId="4FE02376" w14:textId="77777777" w:rsidTr="00110F97">
        <w:tc>
          <w:tcPr>
            <w:tcW w:w="1986" w:type="dxa"/>
          </w:tcPr>
          <w:p w14:paraId="0E27DCD2" w14:textId="2DCF72E5" w:rsidR="00FE690F" w:rsidRPr="003E069D" w:rsidRDefault="00FE690F" w:rsidP="00FE690F">
            <w:pPr>
              <w:rPr>
                <w:rFonts w:ascii="Century Gothic" w:hAnsi="Century Gothic"/>
              </w:rPr>
            </w:pPr>
            <w:r w:rsidRPr="003E069D">
              <w:rPr>
                <w:rFonts w:ascii="Century Gothic" w:hAnsi="Century Gothic"/>
              </w:rPr>
              <w:t>Training Environments</w:t>
            </w:r>
          </w:p>
        </w:tc>
        <w:tc>
          <w:tcPr>
            <w:tcW w:w="6804" w:type="dxa"/>
          </w:tcPr>
          <w:p w14:paraId="4C2E9F6C" w14:textId="4E649905" w:rsidR="00FE690F" w:rsidRPr="003E069D" w:rsidRDefault="00FE690F" w:rsidP="00FE690F">
            <w:pPr>
              <w:rPr>
                <w:rFonts w:ascii="Century Gothic" w:hAnsi="Century Gothic"/>
              </w:rPr>
            </w:pPr>
            <w:r w:rsidRPr="003E069D">
              <w:rPr>
                <w:rFonts w:ascii="Century Gothic" w:hAnsi="Century Gothic"/>
              </w:rPr>
              <w:t>The training of ACCPs will occur in existing UK training centres approved for, at a minimum, Stage 1 and 2 ICM level training</w:t>
            </w:r>
            <w:r w:rsidR="007A375B">
              <w:rPr>
                <w:rFonts w:ascii="Century Gothic" w:hAnsi="Century Gothic"/>
              </w:rPr>
              <w:t xml:space="preserve"> OR a site with a Regional Advisors approval form in place</w:t>
            </w:r>
            <w:bookmarkStart w:id="0" w:name="_GoBack"/>
            <w:bookmarkEnd w:id="0"/>
            <w:r w:rsidRPr="003E069D">
              <w:rPr>
                <w:rFonts w:ascii="Century Gothic" w:hAnsi="Century Gothic"/>
              </w:rPr>
              <w:t>. Departments in which training occurs must comply with the regulations and recommendations of the relevant national Departments of Health, the GMC, NMC, HPC and the FICM. Please include a list of training locations.</w:t>
            </w:r>
          </w:p>
          <w:p w14:paraId="2A4F1E0F" w14:textId="28186D87" w:rsidR="00FE690F" w:rsidRPr="003E069D" w:rsidRDefault="00FE690F" w:rsidP="00FE690F">
            <w:pPr>
              <w:rPr>
                <w:rFonts w:ascii="Century Gothic" w:hAnsi="Century Gothic"/>
              </w:rPr>
            </w:pPr>
          </w:p>
        </w:tc>
        <w:tc>
          <w:tcPr>
            <w:tcW w:w="2835" w:type="dxa"/>
          </w:tcPr>
          <w:p w14:paraId="38410103" w14:textId="77777777" w:rsidR="00FE690F" w:rsidRPr="003E069D" w:rsidRDefault="00FE690F" w:rsidP="00FE690F">
            <w:pPr>
              <w:rPr>
                <w:rFonts w:ascii="Century Gothic" w:hAnsi="Century Gothic"/>
              </w:rPr>
            </w:pPr>
          </w:p>
        </w:tc>
        <w:tc>
          <w:tcPr>
            <w:tcW w:w="2835" w:type="dxa"/>
          </w:tcPr>
          <w:p w14:paraId="30D0A895" w14:textId="77777777" w:rsidR="00FE690F" w:rsidRPr="003E069D" w:rsidRDefault="00FE690F" w:rsidP="00FE690F">
            <w:pPr>
              <w:rPr>
                <w:rFonts w:ascii="Century Gothic" w:hAnsi="Century Gothic"/>
              </w:rPr>
            </w:pPr>
          </w:p>
        </w:tc>
      </w:tr>
      <w:tr w:rsidR="00AE1DCA" w:rsidRPr="003E069D" w14:paraId="0B8C38D2" w14:textId="77777777" w:rsidTr="00110F97">
        <w:tc>
          <w:tcPr>
            <w:tcW w:w="1986" w:type="dxa"/>
          </w:tcPr>
          <w:p w14:paraId="313CCAED" w14:textId="1DB8587A" w:rsidR="00AE1DCA" w:rsidRPr="003E069D" w:rsidRDefault="00AE1DCA" w:rsidP="00A855C3">
            <w:pPr>
              <w:rPr>
                <w:rFonts w:ascii="Century Gothic" w:hAnsi="Century Gothic"/>
              </w:rPr>
            </w:pPr>
            <w:r w:rsidRPr="003E069D">
              <w:rPr>
                <w:rFonts w:ascii="Century Gothic" w:hAnsi="Century Gothic"/>
              </w:rPr>
              <w:t xml:space="preserve">Staff </w:t>
            </w:r>
            <w:r w:rsidR="00816C51" w:rsidRPr="003E069D">
              <w:rPr>
                <w:rFonts w:ascii="Century Gothic" w:hAnsi="Century Gothic"/>
              </w:rPr>
              <w:t>roles and responsibilities</w:t>
            </w:r>
          </w:p>
        </w:tc>
        <w:tc>
          <w:tcPr>
            <w:tcW w:w="6804" w:type="dxa"/>
          </w:tcPr>
          <w:p w14:paraId="0B586741" w14:textId="2C96CC9B" w:rsidR="00816C51" w:rsidRPr="003E069D" w:rsidRDefault="00A653B1" w:rsidP="00A855C3">
            <w:pPr>
              <w:rPr>
                <w:rFonts w:ascii="Century Gothic" w:hAnsi="Century Gothic"/>
              </w:rPr>
            </w:pPr>
            <w:r w:rsidRPr="003E069D">
              <w:rPr>
                <w:rFonts w:ascii="Century Gothic" w:hAnsi="Century Gothic"/>
              </w:rPr>
              <w:t xml:space="preserve">Please ensure an organisation chart detailing all those </w:t>
            </w:r>
            <w:r w:rsidR="00AE1DCA" w:rsidRPr="003E069D">
              <w:rPr>
                <w:rFonts w:ascii="Century Gothic" w:hAnsi="Century Gothic"/>
              </w:rPr>
              <w:t>contributing to the programme</w:t>
            </w:r>
            <w:r w:rsidRPr="003E069D">
              <w:rPr>
                <w:rFonts w:ascii="Century Gothic" w:hAnsi="Century Gothic"/>
              </w:rPr>
              <w:t xml:space="preserve"> is included with the submission</w:t>
            </w:r>
            <w:r w:rsidR="00AE1DCA" w:rsidRPr="003E069D">
              <w:rPr>
                <w:rFonts w:ascii="Century Gothic" w:hAnsi="Century Gothic"/>
              </w:rPr>
              <w:t>. The panel must ensure that the staffing suggested to deliver and support the programme is appropriate.</w:t>
            </w:r>
            <w:r w:rsidRPr="003E069D">
              <w:rPr>
                <w:rFonts w:ascii="Century Gothic" w:hAnsi="Century Gothic"/>
              </w:rPr>
              <w:t xml:space="preserve"> The </w:t>
            </w:r>
            <w:r w:rsidRPr="003E069D">
              <w:rPr>
                <w:rFonts w:ascii="Century Gothic" w:hAnsi="Century Gothic"/>
              </w:rPr>
              <w:lastRenderedPageBreak/>
              <w:t>chart should identify the r</w:t>
            </w:r>
            <w:r w:rsidR="00816C51" w:rsidRPr="003E069D">
              <w:rPr>
                <w:rFonts w:ascii="Century Gothic" w:hAnsi="Century Gothic"/>
              </w:rPr>
              <w:t>oles of indiv</w:t>
            </w:r>
            <w:r w:rsidRPr="003E069D">
              <w:rPr>
                <w:rFonts w:ascii="Century Gothic" w:hAnsi="Century Gothic"/>
              </w:rPr>
              <w:t>idual staff and associated qualifications</w:t>
            </w:r>
            <w:r w:rsidR="00816C51" w:rsidRPr="003E069D">
              <w:rPr>
                <w:rFonts w:ascii="Century Gothic" w:hAnsi="Century Gothic"/>
              </w:rPr>
              <w:t>, including clinical supervisors, mentors, educa</w:t>
            </w:r>
            <w:r w:rsidRPr="003E069D">
              <w:rPr>
                <w:rFonts w:ascii="Century Gothic" w:hAnsi="Century Gothic"/>
              </w:rPr>
              <w:t xml:space="preserve">tional supervisors and teachers. </w:t>
            </w:r>
          </w:p>
          <w:p w14:paraId="7EE020E8" w14:textId="775B5439" w:rsidR="00C11100" w:rsidRPr="003E069D" w:rsidRDefault="00C11100" w:rsidP="00A855C3">
            <w:pPr>
              <w:rPr>
                <w:rFonts w:ascii="Century Gothic" w:hAnsi="Century Gothic"/>
              </w:rPr>
            </w:pPr>
          </w:p>
          <w:p w14:paraId="05BAF6F0" w14:textId="709FFBC6" w:rsidR="00C11100" w:rsidRPr="003E069D" w:rsidRDefault="00C11100" w:rsidP="00A855C3">
            <w:pPr>
              <w:rPr>
                <w:rFonts w:ascii="Century Gothic" w:hAnsi="Century Gothic"/>
              </w:rPr>
            </w:pPr>
            <w:r w:rsidRPr="003E069D">
              <w:rPr>
                <w:rFonts w:ascii="Century Gothic" w:hAnsi="Century Gothic"/>
              </w:rPr>
              <w:t>Every ACCP trainee must have a nominated Educational Supervisor to oversee their individual learning.</w:t>
            </w:r>
          </w:p>
          <w:p w14:paraId="6AD33BFD" w14:textId="77777777" w:rsidR="00816C51" w:rsidRPr="003E069D" w:rsidRDefault="00816C51" w:rsidP="00A855C3">
            <w:pPr>
              <w:rPr>
                <w:rFonts w:ascii="Century Gothic" w:hAnsi="Century Gothic"/>
              </w:rPr>
            </w:pPr>
          </w:p>
          <w:p w14:paraId="1D6113B6" w14:textId="00ECCDE7" w:rsidR="00BF2A32" w:rsidRPr="003E069D" w:rsidRDefault="00BF2A32" w:rsidP="00BF2A32">
            <w:pPr>
              <w:rPr>
                <w:rFonts w:ascii="Century Gothic" w:hAnsi="Century Gothic"/>
              </w:rPr>
            </w:pPr>
            <w:r w:rsidRPr="003E069D">
              <w:rPr>
                <w:rFonts w:ascii="Century Gothic" w:hAnsi="Century Gothic"/>
              </w:rPr>
              <w:t>Evidence that the programme team reviews individual work-based learning on a regular basis and addresses any issues in a timely manner.</w:t>
            </w:r>
          </w:p>
          <w:p w14:paraId="0441B334" w14:textId="4D2AFD48" w:rsidR="00BF2A32" w:rsidRPr="003E069D" w:rsidRDefault="00BF2A32" w:rsidP="00A855C3">
            <w:pPr>
              <w:rPr>
                <w:rFonts w:ascii="Century Gothic" w:hAnsi="Century Gothic"/>
              </w:rPr>
            </w:pPr>
          </w:p>
        </w:tc>
        <w:tc>
          <w:tcPr>
            <w:tcW w:w="2835" w:type="dxa"/>
          </w:tcPr>
          <w:p w14:paraId="678481D8" w14:textId="77777777" w:rsidR="00AE1DCA" w:rsidRPr="003E069D" w:rsidRDefault="00AE1DCA" w:rsidP="00A855C3">
            <w:pPr>
              <w:rPr>
                <w:rFonts w:ascii="Century Gothic" w:hAnsi="Century Gothic"/>
              </w:rPr>
            </w:pPr>
          </w:p>
        </w:tc>
        <w:tc>
          <w:tcPr>
            <w:tcW w:w="2835" w:type="dxa"/>
          </w:tcPr>
          <w:p w14:paraId="61761EE6" w14:textId="77777777" w:rsidR="00AE1DCA" w:rsidRPr="003E069D" w:rsidRDefault="00AE1DCA" w:rsidP="00A855C3">
            <w:pPr>
              <w:rPr>
                <w:rFonts w:ascii="Century Gothic" w:hAnsi="Century Gothic"/>
              </w:rPr>
            </w:pPr>
          </w:p>
        </w:tc>
      </w:tr>
      <w:tr w:rsidR="00AE1DCA" w:rsidRPr="003E069D" w14:paraId="79834545" w14:textId="77777777" w:rsidTr="00110F97">
        <w:tc>
          <w:tcPr>
            <w:tcW w:w="1986" w:type="dxa"/>
          </w:tcPr>
          <w:p w14:paraId="0332B93C" w14:textId="62CB86C6" w:rsidR="00AE1DCA" w:rsidRPr="003E069D" w:rsidRDefault="00CF0469" w:rsidP="00A855C3">
            <w:pPr>
              <w:rPr>
                <w:rFonts w:ascii="Century Gothic" w:hAnsi="Century Gothic"/>
              </w:rPr>
            </w:pPr>
            <w:r w:rsidRPr="003E069D">
              <w:rPr>
                <w:rFonts w:ascii="Century Gothic" w:hAnsi="Century Gothic"/>
                <w:sz w:val="20"/>
              </w:rPr>
              <w:t>P</w:t>
            </w:r>
            <w:r w:rsidR="00AE1DCA" w:rsidRPr="003E069D">
              <w:rPr>
                <w:rFonts w:ascii="Century Gothic" w:hAnsi="Century Gothic"/>
                <w:sz w:val="20"/>
              </w:rPr>
              <w:t>rogramme specification</w:t>
            </w:r>
            <w:r w:rsidRPr="003E069D">
              <w:rPr>
                <w:rFonts w:ascii="Century Gothic" w:hAnsi="Century Gothic"/>
                <w:sz w:val="20"/>
              </w:rPr>
              <w:t>;</w:t>
            </w:r>
            <w:r w:rsidR="00AE1DCA" w:rsidRPr="003E069D">
              <w:rPr>
                <w:rFonts w:ascii="Century Gothic" w:hAnsi="Century Gothic"/>
                <w:sz w:val="20"/>
              </w:rPr>
              <w:t xml:space="preserve"> map</w:t>
            </w:r>
            <w:r w:rsidRPr="003E069D">
              <w:rPr>
                <w:rFonts w:ascii="Century Gothic" w:hAnsi="Century Gothic"/>
                <w:sz w:val="20"/>
              </w:rPr>
              <w:t xml:space="preserve">ped </w:t>
            </w:r>
            <w:r w:rsidR="00AE1DCA" w:rsidRPr="003E069D">
              <w:rPr>
                <w:rFonts w:ascii="Century Gothic" w:hAnsi="Century Gothic"/>
                <w:sz w:val="20"/>
              </w:rPr>
              <w:t>onto learning outcomes.</w:t>
            </w:r>
          </w:p>
        </w:tc>
        <w:tc>
          <w:tcPr>
            <w:tcW w:w="6804" w:type="dxa"/>
          </w:tcPr>
          <w:p w14:paraId="1FF154BC" w14:textId="4B35E158" w:rsidR="006118FD" w:rsidRPr="003E069D" w:rsidRDefault="006118FD" w:rsidP="006118FD">
            <w:pPr>
              <w:spacing w:line="259" w:lineRule="auto"/>
              <w:rPr>
                <w:rFonts w:ascii="Century Gothic" w:hAnsi="Century Gothic" w:cstheme="minorHAnsi"/>
                <w:color w:val="000000" w:themeColor="text1"/>
              </w:rPr>
            </w:pPr>
            <w:r w:rsidRPr="003E069D">
              <w:rPr>
                <w:rFonts w:ascii="Century Gothic" w:hAnsi="Century Gothic" w:cstheme="minorHAnsi"/>
                <w:color w:val="000000" w:themeColor="text1"/>
              </w:rPr>
              <w:t>The programme specification (in accordance with QAA requirements)</w:t>
            </w:r>
          </w:p>
          <w:p w14:paraId="021FFEDF" w14:textId="77777777" w:rsidR="006118FD" w:rsidRPr="003E069D" w:rsidRDefault="006118FD" w:rsidP="006118FD">
            <w:pPr>
              <w:spacing w:line="259" w:lineRule="auto"/>
              <w:rPr>
                <w:rFonts w:ascii="Century Gothic" w:hAnsi="Century Gothic" w:cstheme="minorHAnsi"/>
                <w:color w:val="000000" w:themeColor="text1"/>
              </w:rPr>
            </w:pPr>
            <w:r w:rsidRPr="003E069D">
              <w:rPr>
                <w:rFonts w:ascii="Century Gothic" w:hAnsi="Century Gothic" w:cstheme="minorHAnsi"/>
                <w:color w:val="000000" w:themeColor="text1"/>
              </w:rPr>
              <w:t>A critical review of the programme (where it is an existing programme)</w:t>
            </w:r>
          </w:p>
          <w:p w14:paraId="5A960DC1" w14:textId="77777777" w:rsidR="006118FD" w:rsidRPr="003E069D" w:rsidRDefault="006118FD" w:rsidP="00A855C3">
            <w:pPr>
              <w:rPr>
                <w:rFonts w:ascii="Century Gothic" w:hAnsi="Century Gothic"/>
              </w:rPr>
            </w:pPr>
          </w:p>
          <w:p w14:paraId="345EDA65" w14:textId="084C6247" w:rsidR="00CF0469" w:rsidRPr="003E069D" w:rsidRDefault="00AE1DCA" w:rsidP="00A855C3">
            <w:pPr>
              <w:rPr>
                <w:rFonts w:ascii="Century Gothic" w:hAnsi="Century Gothic"/>
              </w:rPr>
            </w:pPr>
            <w:r w:rsidRPr="003E069D">
              <w:rPr>
                <w:rFonts w:ascii="Century Gothic" w:hAnsi="Century Gothic"/>
              </w:rPr>
              <w:t xml:space="preserve">Programme aims must be included within the submission (within the programme specification) and there be clear linkages with programme objectives and/or programme learning outcomes. </w:t>
            </w:r>
          </w:p>
          <w:p w14:paraId="65028164" w14:textId="77777777" w:rsidR="00CF0469" w:rsidRPr="003E069D" w:rsidRDefault="00CF0469" w:rsidP="00A855C3">
            <w:pPr>
              <w:rPr>
                <w:rFonts w:ascii="Century Gothic" w:hAnsi="Century Gothic"/>
              </w:rPr>
            </w:pPr>
          </w:p>
          <w:p w14:paraId="1BBAE8B3" w14:textId="23F0FD19" w:rsidR="00AE1DCA" w:rsidRPr="003E069D" w:rsidRDefault="00AE1DCA" w:rsidP="00A855C3">
            <w:pPr>
              <w:rPr>
                <w:rFonts w:ascii="Century Gothic" w:hAnsi="Century Gothic"/>
              </w:rPr>
            </w:pPr>
            <w:r w:rsidRPr="003E069D">
              <w:rPr>
                <w:rFonts w:ascii="Century Gothic" w:hAnsi="Century Gothic"/>
              </w:rPr>
              <w:t>It is helpful to accreditation panels if there is an indication, by means of a summary, where in the programme specific programme learning outcomes are demonstrated.</w:t>
            </w:r>
          </w:p>
          <w:p w14:paraId="6F2A70C3" w14:textId="4A34CA06" w:rsidR="00CF0469" w:rsidRPr="003E069D" w:rsidRDefault="00CF0469" w:rsidP="00A855C3">
            <w:pPr>
              <w:rPr>
                <w:rFonts w:ascii="Century Gothic" w:hAnsi="Century Gothic"/>
              </w:rPr>
            </w:pPr>
          </w:p>
          <w:p w14:paraId="66371248" w14:textId="10ADDA5D" w:rsidR="00CF0469" w:rsidRPr="003E069D" w:rsidRDefault="00CF0469" w:rsidP="00A855C3">
            <w:pPr>
              <w:rPr>
                <w:rFonts w:ascii="Century Gothic" w:hAnsi="Century Gothic"/>
              </w:rPr>
            </w:pPr>
            <w:r w:rsidRPr="003E069D">
              <w:rPr>
                <w:rFonts w:ascii="Century Gothic" w:hAnsi="Century Gothic"/>
              </w:rPr>
              <w:t>The programme must be structured to facilitate an appropriate balance between theoretical and practical elements. The minimum number and range of clinics students are expected to participate in must be detailed. Equally, the number and range of surgical procedures to be undertaken to establish competence must be detailed</w:t>
            </w:r>
          </w:p>
          <w:p w14:paraId="789EED62" w14:textId="0405D35F" w:rsidR="00CF0469" w:rsidRPr="003E069D" w:rsidRDefault="00CF0469" w:rsidP="00A855C3">
            <w:pPr>
              <w:rPr>
                <w:rFonts w:ascii="Century Gothic" w:hAnsi="Century Gothic"/>
              </w:rPr>
            </w:pPr>
          </w:p>
          <w:p w14:paraId="58199F33" w14:textId="77777777" w:rsidR="00CF0469" w:rsidRPr="003E069D" w:rsidRDefault="00CF0469" w:rsidP="00CF0469">
            <w:pPr>
              <w:rPr>
                <w:rFonts w:ascii="Century Gothic" w:hAnsi="Century Gothic"/>
              </w:rPr>
            </w:pPr>
            <w:r w:rsidRPr="003E069D">
              <w:rPr>
                <w:rFonts w:ascii="Century Gothic" w:hAnsi="Century Gothic"/>
              </w:rPr>
              <w:lastRenderedPageBreak/>
              <w:t>The submission must state clearly how and where within the proposal, skills development and professional and educational values for the ACCP are delivered</w:t>
            </w:r>
          </w:p>
          <w:p w14:paraId="6E8AA645" w14:textId="66AACCF8" w:rsidR="00CF0469" w:rsidRPr="003E069D" w:rsidRDefault="00CF0469" w:rsidP="00A855C3">
            <w:pPr>
              <w:rPr>
                <w:rFonts w:ascii="Century Gothic" w:hAnsi="Century Gothic"/>
              </w:rPr>
            </w:pPr>
          </w:p>
          <w:p w14:paraId="53BD0BE3" w14:textId="77777777" w:rsidR="00E751A8" w:rsidRPr="003E069D" w:rsidRDefault="00E751A8" w:rsidP="00E751A8">
            <w:pPr>
              <w:rPr>
                <w:rFonts w:ascii="Century Gothic" w:hAnsi="Century Gothic"/>
              </w:rPr>
            </w:pPr>
            <w:r w:rsidRPr="003E069D">
              <w:rPr>
                <w:rFonts w:ascii="Century Gothic" w:hAnsi="Century Gothic"/>
              </w:rPr>
              <w:t>The programme must allow students to demonstrate competence in all areas of the core syllabus, namely.</w:t>
            </w:r>
          </w:p>
          <w:p w14:paraId="167DF8E1" w14:textId="77777777" w:rsidR="00E751A8" w:rsidRPr="003E069D" w:rsidRDefault="00E751A8" w:rsidP="00E751A8">
            <w:pPr>
              <w:pStyle w:val="ListParagraph"/>
              <w:numPr>
                <w:ilvl w:val="0"/>
                <w:numId w:val="6"/>
              </w:numPr>
              <w:rPr>
                <w:rFonts w:ascii="Century Gothic" w:hAnsi="Century Gothic"/>
              </w:rPr>
            </w:pPr>
            <w:r w:rsidRPr="003E069D">
              <w:rPr>
                <w:rFonts w:ascii="Century Gothic" w:hAnsi="Century Gothic"/>
              </w:rPr>
              <w:t>Anatomy, physiology and pathophysiology</w:t>
            </w:r>
          </w:p>
          <w:p w14:paraId="79C19B6A" w14:textId="77777777" w:rsidR="00E751A8" w:rsidRPr="003E069D" w:rsidRDefault="00E751A8" w:rsidP="00E751A8">
            <w:pPr>
              <w:pStyle w:val="ListParagraph"/>
              <w:numPr>
                <w:ilvl w:val="0"/>
                <w:numId w:val="6"/>
              </w:numPr>
              <w:rPr>
                <w:rFonts w:ascii="Century Gothic" w:hAnsi="Century Gothic"/>
              </w:rPr>
            </w:pPr>
            <w:r w:rsidRPr="003E069D">
              <w:rPr>
                <w:rFonts w:ascii="Century Gothic" w:hAnsi="Century Gothic"/>
              </w:rPr>
              <w:t>History taking and examination</w:t>
            </w:r>
          </w:p>
          <w:p w14:paraId="13741CE2" w14:textId="77777777" w:rsidR="00E751A8" w:rsidRPr="003E069D" w:rsidRDefault="00E751A8" w:rsidP="00E751A8">
            <w:pPr>
              <w:pStyle w:val="ListParagraph"/>
              <w:numPr>
                <w:ilvl w:val="0"/>
                <w:numId w:val="6"/>
              </w:numPr>
              <w:rPr>
                <w:rFonts w:ascii="Century Gothic" w:hAnsi="Century Gothic"/>
              </w:rPr>
            </w:pPr>
            <w:r w:rsidRPr="003E069D">
              <w:rPr>
                <w:rFonts w:ascii="Century Gothic" w:hAnsi="Century Gothic"/>
              </w:rPr>
              <w:t xml:space="preserve">Clinical decision making and reasoning </w:t>
            </w:r>
          </w:p>
          <w:p w14:paraId="6884C8D0" w14:textId="77777777" w:rsidR="00E751A8" w:rsidRPr="003E069D" w:rsidRDefault="00E751A8" w:rsidP="00E751A8">
            <w:pPr>
              <w:pStyle w:val="ListParagraph"/>
              <w:numPr>
                <w:ilvl w:val="0"/>
                <w:numId w:val="6"/>
              </w:numPr>
              <w:rPr>
                <w:rFonts w:ascii="Century Gothic" w:hAnsi="Century Gothic"/>
              </w:rPr>
            </w:pPr>
            <w:r w:rsidRPr="003E069D">
              <w:rPr>
                <w:rFonts w:ascii="Century Gothic" w:hAnsi="Century Gothic"/>
              </w:rPr>
              <w:t>The patient as the focus of care</w:t>
            </w:r>
          </w:p>
          <w:p w14:paraId="4918D50A" w14:textId="77777777" w:rsidR="00E751A8" w:rsidRPr="003E069D" w:rsidRDefault="00E751A8" w:rsidP="00E751A8">
            <w:pPr>
              <w:pStyle w:val="ListParagraph"/>
              <w:numPr>
                <w:ilvl w:val="0"/>
                <w:numId w:val="6"/>
              </w:numPr>
              <w:rPr>
                <w:rFonts w:ascii="Century Gothic" w:hAnsi="Century Gothic"/>
              </w:rPr>
            </w:pPr>
            <w:r w:rsidRPr="003E069D">
              <w:rPr>
                <w:rFonts w:ascii="Century Gothic" w:hAnsi="Century Gothic"/>
              </w:rPr>
              <w:t>competencies</w:t>
            </w:r>
          </w:p>
          <w:p w14:paraId="58B1B5AD" w14:textId="77777777" w:rsidR="00E751A8" w:rsidRPr="003E069D" w:rsidRDefault="00E751A8" w:rsidP="00E751A8">
            <w:pPr>
              <w:pStyle w:val="ListParagraph"/>
              <w:numPr>
                <w:ilvl w:val="0"/>
                <w:numId w:val="6"/>
              </w:numPr>
              <w:rPr>
                <w:rFonts w:ascii="Century Gothic" w:hAnsi="Century Gothic"/>
              </w:rPr>
            </w:pPr>
            <w:r w:rsidRPr="003E069D">
              <w:rPr>
                <w:rFonts w:ascii="Century Gothic" w:hAnsi="Century Gothic"/>
              </w:rPr>
              <w:t>Resuscitation and first stage management of the critically ill patient</w:t>
            </w:r>
          </w:p>
          <w:p w14:paraId="34938DE8" w14:textId="77777777" w:rsidR="00E751A8" w:rsidRPr="003E069D" w:rsidRDefault="00E751A8" w:rsidP="00E751A8">
            <w:pPr>
              <w:pStyle w:val="ListParagraph"/>
              <w:numPr>
                <w:ilvl w:val="0"/>
                <w:numId w:val="6"/>
              </w:numPr>
              <w:rPr>
                <w:rFonts w:ascii="Century Gothic" w:hAnsi="Century Gothic"/>
              </w:rPr>
            </w:pPr>
            <w:r w:rsidRPr="003E069D">
              <w:rPr>
                <w:rFonts w:ascii="Century Gothic" w:hAnsi="Century Gothic"/>
              </w:rPr>
              <w:t>Interpretation of clinical data and investigations in the assessment and management of critical care patients</w:t>
            </w:r>
          </w:p>
          <w:p w14:paraId="1BB7D1E1" w14:textId="77777777" w:rsidR="00E751A8" w:rsidRPr="003E069D" w:rsidRDefault="00E751A8" w:rsidP="00E751A8">
            <w:pPr>
              <w:pStyle w:val="ListParagraph"/>
              <w:numPr>
                <w:ilvl w:val="0"/>
                <w:numId w:val="6"/>
              </w:numPr>
              <w:rPr>
                <w:rFonts w:ascii="Century Gothic" w:hAnsi="Century Gothic"/>
              </w:rPr>
            </w:pPr>
            <w:r w:rsidRPr="003E069D">
              <w:rPr>
                <w:rFonts w:ascii="Century Gothic" w:hAnsi="Century Gothic"/>
              </w:rPr>
              <w:t>Diagnosis and disease management within the scope of critical care</w:t>
            </w:r>
          </w:p>
          <w:p w14:paraId="75FB5AFC" w14:textId="77777777" w:rsidR="00E751A8" w:rsidRPr="003E069D" w:rsidRDefault="00E751A8" w:rsidP="00E751A8">
            <w:pPr>
              <w:pStyle w:val="ListParagraph"/>
              <w:numPr>
                <w:ilvl w:val="0"/>
                <w:numId w:val="6"/>
              </w:numPr>
              <w:rPr>
                <w:rFonts w:ascii="Century Gothic" w:hAnsi="Century Gothic"/>
              </w:rPr>
            </w:pPr>
            <w:r w:rsidRPr="003E069D">
              <w:rPr>
                <w:rFonts w:ascii="Century Gothic" w:hAnsi="Century Gothic"/>
              </w:rPr>
              <w:t>Therapeutic interventions/organ system support</w:t>
            </w:r>
          </w:p>
          <w:p w14:paraId="46DE62DE" w14:textId="77777777" w:rsidR="00E751A8" w:rsidRPr="003E069D" w:rsidRDefault="00E751A8" w:rsidP="00E751A8">
            <w:pPr>
              <w:pStyle w:val="ListParagraph"/>
              <w:numPr>
                <w:ilvl w:val="0"/>
                <w:numId w:val="6"/>
              </w:numPr>
              <w:rPr>
                <w:rFonts w:ascii="Century Gothic" w:hAnsi="Century Gothic"/>
              </w:rPr>
            </w:pPr>
            <w:r w:rsidRPr="003E069D">
              <w:rPr>
                <w:rFonts w:ascii="Century Gothic" w:hAnsi="Century Gothic"/>
              </w:rPr>
              <w:t>Radiology</w:t>
            </w:r>
          </w:p>
          <w:p w14:paraId="5C83B916" w14:textId="77777777" w:rsidR="00E751A8" w:rsidRPr="003E069D" w:rsidRDefault="00E751A8" w:rsidP="00E751A8">
            <w:pPr>
              <w:pStyle w:val="ListParagraph"/>
              <w:numPr>
                <w:ilvl w:val="0"/>
                <w:numId w:val="6"/>
              </w:numPr>
              <w:rPr>
                <w:rFonts w:ascii="Century Gothic" w:hAnsi="Century Gothic"/>
              </w:rPr>
            </w:pPr>
            <w:r w:rsidRPr="003E069D">
              <w:rPr>
                <w:rFonts w:ascii="Century Gothic" w:hAnsi="Century Gothic"/>
              </w:rPr>
              <w:t>Principles of microbiology</w:t>
            </w:r>
          </w:p>
          <w:p w14:paraId="4460640C" w14:textId="77777777" w:rsidR="00E751A8" w:rsidRPr="003E069D" w:rsidRDefault="00E751A8" w:rsidP="00E751A8">
            <w:pPr>
              <w:pStyle w:val="ListParagraph"/>
              <w:numPr>
                <w:ilvl w:val="0"/>
                <w:numId w:val="6"/>
              </w:numPr>
              <w:rPr>
                <w:rFonts w:ascii="Century Gothic" w:hAnsi="Century Gothic"/>
              </w:rPr>
            </w:pPr>
            <w:r w:rsidRPr="003E069D">
              <w:rPr>
                <w:rFonts w:ascii="Century Gothic" w:hAnsi="Century Gothic"/>
              </w:rPr>
              <w:t xml:space="preserve">Principles of laboratory medicine </w:t>
            </w:r>
          </w:p>
          <w:p w14:paraId="40EAFF25" w14:textId="77777777" w:rsidR="00E751A8" w:rsidRPr="003E069D" w:rsidRDefault="00E751A8" w:rsidP="00E751A8">
            <w:pPr>
              <w:pStyle w:val="ListParagraph"/>
              <w:numPr>
                <w:ilvl w:val="0"/>
                <w:numId w:val="6"/>
              </w:numPr>
              <w:rPr>
                <w:rFonts w:ascii="Century Gothic" w:hAnsi="Century Gothic"/>
              </w:rPr>
            </w:pPr>
            <w:r w:rsidRPr="003E069D">
              <w:rPr>
                <w:rFonts w:ascii="Century Gothic" w:hAnsi="Century Gothic"/>
              </w:rPr>
              <w:t xml:space="preserve">Principles of pharmacology and non-medical prescribing with focus on critical care medication </w:t>
            </w:r>
          </w:p>
          <w:p w14:paraId="124AFFAB" w14:textId="77777777" w:rsidR="00E751A8" w:rsidRPr="003E069D" w:rsidRDefault="00E751A8" w:rsidP="00E751A8">
            <w:pPr>
              <w:pStyle w:val="ListParagraph"/>
              <w:numPr>
                <w:ilvl w:val="0"/>
                <w:numId w:val="6"/>
              </w:numPr>
              <w:rPr>
                <w:rFonts w:ascii="Century Gothic" w:hAnsi="Century Gothic"/>
              </w:rPr>
            </w:pPr>
            <w:r w:rsidRPr="003E069D">
              <w:rPr>
                <w:rFonts w:ascii="Century Gothic" w:hAnsi="Century Gothic"/>
              </w:rPr>
              <w:t xml:space="preserve">Technology in critical care </w:t>
            </w:r>
          </w:p>
          <w:p w14:paraId="623EF2B3" w14:textId="77777777" w:rsidR="00E751A8" w:rsidRPr="003E069D" w:rsidRDefault="00E751A8" w:rsidP="00E751A8">
            <w:pPr>
              <w:pStyle w:val="ListParagraph"/>
              <w:numPr>
                <w:ilvl w:val="0"/>
                <w:numId w:val="6"/>
              </w:numPr>
              <w:rPr>
                <w:rFonts w:ascii="Century Gothic" w:hAnsi="Century Gothic"/>
              </w:rPr>
            </w:pPr>
            <w:r w:rsidRPr="003E069D">
              <w:rPr>
                <w:rFonts w:ascii="Century Gothic" w:hAnsi="Century Gothic"/>
              </w:rPr>
              <w:t xml:space="preserve">Legal framework for care </w:t>
            </w:r>
          </w:p>
          <w:p w14:paraId="23F1A3FB" w14:textId="77777777" w:rsidR="00E751A8" w:rsidRPr="003E069D" w:rsidRDefault="00E751A8" w:rsidP="00E751A8">
            <w:pPr>
              <w:pStyle w:val="ListParagraph"/>
              <w:numPr>
                <w:ilvl w:val="0"/>
                <w:numId w:val="6"/>
              </w:numPr>
              <w:rPr>
                <w:rFonts w:ascii="Century Gothic" w:hAnsi="Century Gothic"/>
              </w:rPr>
            </w:pPr>
            <w:r w:rsidRPr="003E069D">
              <w:rPr>
                <w:rFonts w:ascii="Century Gothic" w:hAnsi="Century Gothic"/>
              </w:rPr>
              <w:t>Discharge planning and rehabilitation</w:t>
            </w:r>
          </w:p>
          <w:p w14:paraId="082C9DB1" w14:textId="77777777" w:rsidR="00E751A8" w:rsidRPr="003E069D" w:rsidRDefault="00E751A8" w:rsidP="00E751A8">
            <w:pPr>
              <w:pStyle w:val="ListParagraph"/>
              <w:numPr>
                <w:ilvl w:val="0"/>
                <w:numId w:val="6"/>
              </w:numPr>
              <w:rPr>
                <w:rFonts w:ascii="Century Gothic" w:hAnsi="Century Gothic"/>
              </w:rPr>
            </w:pPr>
            <w:r w:rsidRPr="003E069D">
              <w:rPr>
                <w:rFonts w:ascii="Century Gothic" w:hAnsi="Century Gothic"/>
              </w:rPr>
              <w:t>End of life care</w:t>
            </w:r>
          </w:p>
          <w:p w14:paraId="32AA4A0C" w14:textId="77777777" w:rsidR="00E751A8" w:rsidRPr="003E069D" w:rsidRDefault="00E751A8" w:rsidP="00E751A8">
            <w:pPr>
              <w:pStyle w:val="ListParagraph"/>
              <w:numPr>
                <w:ilvl w:val="0"/>
                <w:numId w:val="6"/>
              </w:numPr>
              <w:rPr>
                <w:rFonts w:ascii="Century Gothic" w:hAnsi="Century Gothic"/>
              </w:rPr>
            </w:pPr>
            <w:r w:rsidRPr="003E069D">
              <w:rPr>
                <w:rFonts w:ascii="Century Gothic" w:hAnsi="Century Gothic"/>
              </w:rPr>
              <w:t>Organ / tissue donation</w:t>
            </w:r>
          </w:p>
          <w:p w14:paraId="49E7716B" w14:textId="77777777" w:rsidR="00E751A8" w:rsidRPr="003E069D" w:rsidRDefault="00E751A8" w:rsidP="00E751A8">
            <w:pPr>
              <w:pStyle w:val="ListParagraph"/>
              <w:numPr>
                <w:ilvl w:val="0"/>
                <w:numId w:val="6"/>
              </w:numPr>
              <w:rPr>
                <w:rFonts w:ascii="Century Gothic" w:hAnsi="Century Gothic"/>
              </w:rPr>
            </w:pPr>
            <w:r w:rsidRPr="003E069D">
              <w:rPr>
                <w:rFonts w:ascii="Century Gothic" w:hAnsi="Century Gothic"/>
              </w:rPr>
              <w:t xml:space="preserve">Surgical procedures </w:t>
            </w:r>
          </w:p>
          <w:p w14:paraId="4EF70583" w14:textId="77777777" w:rsidR="00E751A8" w:rsidRPr="003E069D" w:rsidRDefault="00E751A8" w:rsidP="00E751A8">
            <w:pPr>
              <w:pStyle w:val="ListParagraph"/>
              <w:numPr>
                <w:ilvl w:val="0"/>
                <w:numId w:val="6"/>
              </w:numPr>
              <w:rPr>
                <w:rFonts w:ascii="Century Gothic" w:hAnsi="Century Gothic"/>
              </w:rPr>
            </w:pPr>
            <w:r w:rsidRPr="003E069D">
              <w:rPr>
                <w:rFonts w:ascii="Century Gothic" w:hAnsi="Century Gothic"/>
              </w:rPr>
              <w:t>Communication</w:t>
            </w:r>
          </w:p>
          <w:p w14:paraId="759B6527" w14:textId="77777777" w:rsidR="00E751A8" w:rsidRPr="003E069D" w:rsidRDefault="00E751A8" w:rsidP="00E751A8">
            <w:pPr>
              <w:pStyle w:val="ListParagraph"/>
              <w:numPr>
                <w:ilvl w:val="0"/>
                <w:numId w:val="6"/>
              </w:numPr>
              <w:rPr>
                <w:rFonts w:ascii="Century Gothic" w:hAnsi="Century Gothic"/>
              </w:rPr>
            </w:pPr>
            <w:r w:rsidRPr="003E069D">
              <w:rPr>
                <w:rFonts w:ascii="Century Gothic" w:hAnsi="Century Gothic"/>
              </w:rPr>
              <w:t>Legal and ethical aspects of care</w:t>
            </w:r>
          </w:p>
          <w:p w14:paraId="65847EF4" w14:textId="77777777" w:rsidR="00E751A8" w:rsidRPr="003E069D" w:rsidRDefault="00E751A8" w:rsidP="00E751A8">
            <w:pPr>
              <w:pStyle w:val="ListParagraph"/>
              <w:numPr>
                <w:ilvl w:val="0"/>
                <w:numId w:val="6"/>
              </w:numPr>
              <w:rPr>
                <w:rFonts w:ascii="Century Gothic" w:hAnsi="Century Gothic"/>
              </w:rPr>
            </w:pPr>
            <w:r w:rsidRPr="003E069D">
              <w:rPr>
                <w:rFonts w:ascii="Century Gothic" w:hAnsi="Century Gothic"/>
              </w:rPr>
              <w:t>Quality standards of care and education</w:t>
            </w:r>
          </w:p>
          <w:p w14:paraId="27074529" w14:textId="77777777" w:rsidR="00E751A8" w:rsidRPr="003E069D" w:rsidRDefault="00E751A8" w:rsidP="00E751A8">
            <w:pPr>
              <w:pStyle w:val="ListParagraph"/>
              <w:numPr>
                <w:ilvl w:val="0"/>
                <w:numId w:val="6"/>
              </w:numPr>
              <w:rPr>
                <w:rFonts w:ascii="Century Gothic" w:hAnsi="Century Gothic"/>
              </w:rPr>
            </w:pPr>
            <w:r w:rsidRPr="003E069D">
              <w:rPr>
                <w:rFonts w:ascii="Century Gothic" w:hAnsi="Century Gothic"/>
              </w:rPr>
              <w:t>Personal attitudes and behaviours</w:t>
            </w:r>
          </w:p>
          <w:p w14:paraId="41862EC5" w14:textId="5CF50CA9" w:rsidR="00E751A8" w:rsidRPr="003E069D" w:rsidRDefault="00E751A8" w:rsidP="00E751A8">
            <w:pPr>
              <w:pStyle w:val="ListParagraph"/>
              <w:numPr>
                <w:ilvl w:val="0"/>
                <w:numId w:val="6"/>
              </w:numPr>
              <w:rPr>
                <w:rFonts w:ascii="Century Gothic" w:eastAsiaTheme="minorHAnsi" w:hAnsi="Century Gothic"/>
                <w:lang w:eastAsia="en-US"/>
              </w:rPr>
            </w:pPr>
            <w:r w:rsidRPr="003E069D">
              <w:rPr>
                <w:rFonts w:ascii="Century Gothic" w:eastAsiaTheme="minorHAnsi" w:hAnsi="Century Gothic"/>
                <w:lang w:eastAsia="en-US"/>
              </w:rPr>
              <w:lastRenderedPageBreak/>
              <w:t>Management and leadership</w:t>
            </w:r>
          </w:p>
          <w:p w14:paraId="68422204" w14:textId="77777777" w:rsidR="00CF0469" w:rsidRPr="003E069D" w:rsidRDefault="007A375B" w:rsidP="00A855C3">
            <w:pPr>
              <w:rPr>
                <w:rStyle w:val="Hyperlink"/>
                <w:rFonts w:ascii="Century Gothic" w:hAnsi="Century Gothic"/>
              </w:rPr>
            </w:pPr>
            <w:hyperlink r:id="rId7" w:history="1">
              <w:r w:rsidR="00E751A8" w:rsidRPr="003E069D">
                <w:rPr>
                  <w:rStyle w:val="Hyperlink"/>
                  <w:rFonts w:ascii="Century Gothic" w:hAnsi="Century Gothic"/>
                </w:rPr>
                <w:t>https://www.ficm.ac.uk/sites/default/files/accp_curriculum_part_iii_-_syllabus_v1.1_2019_revision.pdf</w:t>
              </w:r>
            </w:hyperlink>
          </w:p>
          <w:p w14:paraId="7F3F9BED" w14:textId="77777777" w:rsidR="00E751A8" w:rsidRPr="003E069D" w:rsidRDefault="00E751A8" w:rsidP="00A855C3">
            <w:pPr>
              <w:rPr>
                <w:rFonts w:ascii="Century Gothic" w:hAnsi="Century Gothic"/>
              </w:rPr>
            </w:pPr>
          </w:p>
          <w:p w14:paraId="33A457A7" w14:textId="42C3760A" w:rsidR="00B26758" w:rsidRPr="003E069D" w:rsidRDefault="00B26758" w:rsidP="00A855C3">
            <w:pPr>
              <w:rPr>
                <w:rFonts w:ascii="Century Gothic" w:hAnsi="Century Gothic"/>
              </w:rPr>
            </w:pPr>
            <w:r w:rsidRPr="003E069D">
              <w:rPr>
                <w:rFonts w:ascii="Century Gothic" w:hAnsi="Century Gothic"/>
              </w:rPr>
              <w:t>The submission should detail an appropriate range of pastoral and academic (including personal tutor) mechanisms, including mechanisms for the monitoring of attendance.</w:t>
            </w:r>
          </w:p>
          <w:p w14:paraId="4BF8E11A" w14:textId="464DD9AB" w:rsidR="00B26758" w:rsidRPr="003E069D" w:rsidRDefault="00B26758" w:rsidP="00A855C3">
            <w:pPr>
              <w:rPr>
                <w:rFonts w:ascii="Century Gothic" w:hAnsi="Century Gothic"/>
              </w:rPr>
            </w:pPr>
          </w:p>
        </w:tc>
        <w:tc>
          <w:tcPr>
            <w:tcW w:w="2835" w:type="dxa"/>
          </w:tcPr>
          <w:p w14:paraId="25E08607" w14:textId="77777777" w:rsidR="00AE1DCA" w:rsidRPr="003E069D" w:rsidRDefault="00AE1DCA" w:rsidP="00A855C3">
            <w:pPr>
              <w:rPr>
                <w:rFonts w:ascii="Century Gothic" w:hAnsi="Century Gothic"/>
                <w:sz w:val="20"/>
              </w:rPr>
            </w:pPr>
          </w:p>
        </w:tc>
        <w:tc>
          <w:tcPr>
            <w:tcW w:w="2835" w:type="dxa"/>
          </w:tcPr>
          <w:p w14:paraId="31829462" w14:textId="77777777" w:rsidR="00AE1DCA" w:rsidRPr="003E069D" w:rsidRDefault="00AE1DCA" w:rsidP="00A855C3">
            <w:pPr>
              <w:rPr>
                <w:rFonts w:ascii="Century Gothic" w:hAnsi="Century Gothic"/>
              </w:rPr>
            </w:pPr>
          </w:p>
        </w:tc>
      </w:tr>
      <w:tr w:rsidR="00F77EAB" w:rsidRPr="003E069D" w14:paraId="75D16DA2" w14:textId="77777777" w:rsidTr="00110F97">
        <w:tc>
          <w:tcPr>
            <w:tcW w:w="1986" w:type="dxa"/>
          </w:tcPr>
          <w:p w14:paraId="03C8430F" w14:textId="1E96ABA8" w:rsidR="00F77EAB" w:rsidRPr="003E069D" w:rsidRDefault="00F77EAB" w:rsidP="00A855C3">
            <w:pPr>
              <w:rPr>
                <w:rFonts w:ascii="Century Gothic" w:hAnsi="Century Gothic"/>
              </w:rPr>
            </w:pPr>
            <w:r w:rsidRPr="003E069D">
              <w:rPr>
                <w:rFonts w:ascii="Century Gothic" w:hAnsi="Century Gothic"/>
              </w:rPr>
              <w:lastRenderedPageBreak/>
              <w:t>Learning and Teaching</w:t>
            </w:r>
          </w:p>
        </w:tc>
        <w:tc>
          <w:tcPr>
            <w:tcW w:w="6804" w:type="dxa"/>
          </w:tcPr>
          <w:p w14:paraId="5B016EBE" w14:textId="2616BD4E" w:rsidR="00B26758" w:rsidRPr="003E069D" w:rsidRDefault="00F77EAB" w:rsidP="006D2E44">
            <w:pPr>
              <w:rPr>
                <w:rFonts w:ascii="Century Gothic" w:hAnsi="Century Gothic"/>
              </w:rPr>
            </w:pPr>
            <w:r w:rsidRPr="003E069D">
              <w:rPr>
                <w:rFonts w:ascii="Century Gothic" w:hAnsi="Century Gothic"/>
              </w:rPr>
              <w:t>The learning and teaching strategy for the programme should be included in the submission and this should outline an appropriate range of learning and teaching methods. Linkages between theoretical and practical elements of the programme should be outlined.</w:t>
            </w:r>
          </w:p>
          <w:p w14:paraId="60202BF1" w14:textId="4E8AAE37" w:rsidR="006D2E44" w:rsidRPr="003E069D" w:rsidRDefault="00B8200A" w:rsidP="006D2E44">
            <w:pPr>
              <w:pStyle w:val="NormalWeb"/>
              <w:rPr>
                <w:rFonts w:ascii="Century Gothic" w:hAnsi="Century Gothic" w:cstheme="minorHAnsi"/>
              </w:rPr>
            </w:pPr>
            <w:r w:rsidRPr="003E069D">
              <w:rPr>
                <w:rFonts w:ascii="Century Gothic" w:hAnsi="Century Gothic" w:cstheme="minorHAnsi"/>
              </w:rPr>
              <w:t>Evidence of s</w:t>
            </w:r>
            <w:r w:rsidR="006D2E44" w:rsidRPr="003E069D">
              <w:rPr>
                <w:rFonts w:ascii="Century Gothic" w:hAnsi="Century Gothic" w:cstheme="minorHAnsi"/>
              </w:rPr>
              <w:t xml:space="preserve">ystems in place to identify and address the needs of learners who require additional support to engage with and complete the programme. </w:t>
            </w:r>
          </w:p>
          <w:p w14:paraId="394A47E7" w14:textId="1D2FBFA8" w:rsidR="00354F0C" w:rsidRPr="003E069D" w:rsidRDefault="00354F0C" w:rsidP="00354F0C">
            <w:pPr>
              <w:pStyle w:val="NormalWeb"/>
              <w:rPr>
                <w:rFonts w:ascii="Century Gothic" w:hAnsi="Century Gothic" w:cstheme="minorHAnsi"/>
              </w:rPr>
            </w:pPr>
            <w:r w:rsidRPr="003E069D">
              <w:rPr>
                <w:rFonts w:ascii="Century Gothic" w:hAnsi="Century Gothic" w:cstheme="minorHAnsi"/>
              </w:rPr>
              <w:t>Evidence that learners receive regular feedback on their progress: In both the academic and work-based components of their learnin</w:t>
            </w:r>
            <w:r w:rsidR="00625C7E" w:rsidRPr="003E069D">
              <w:rPr>
                <w:rFonts w:ascii="Century Gothic" w:hAnsi="Century Gothic" w:cstheme="minorHAnsi"/>
              </w:rPr>
              <w:t>g</w:t>
            </w:r>
            <w:r w:rsidR="00194442" w:rsidRPr="003E069D">
              <w:rPr>
                <w:rFonts w:ascii="Century Gothic" w:hAnsi="Century Gothic" w:cstheme="minorHAnsi"/>
              </w:rPr>
              <w:t xml:space="preserve">, and areas for their ongoing development. </w:t>
            </w:r>
          </w:p>
          <w:p w14:paraId="2FF1551D" w14:textId="585B04FD" w:rsidR="00B26758" w:rsidRPr="003E069D" w:rsidRDefault="00B26758" w:rsidP="00A855C3">
            <w:pPr>
              <w:rPr>
                <w:rFonts w:ascii="Century Gothic" w:hAnsi="Century Gothic"/>
              </w:rPr>
            </w:pPr>
            <w:r w:rsidRPr="003E069D">
              <w:rPr>
                <w:rFonts w:ascii="Century Gothic" w:hAnsi="Century Gothic"/>
              </w:rPr>
              <w:t>The submission should detail the arrangements in place for Non-Medical Prescribing</w:t>
            </w:r>
          </w:p>
          <w:p w14:paraId="34C152EB" w14:textId="451F1DA8" w:rsidR="00F77EAB" w:rsidRPr="003E069D" w:rsidRDefault="00F77EAB" w:rsidP="00A855C3">
            <w:pPr>
              <w:rPr>
                <w:rFonts w:ascii="Century Gothic" w:hAnsi="Century Gothic"/>
              </w:rPr>
            </w:pPr>
          </w:p>
        </w:tc>
        <w:tc>
          <w:tcPr>
            <w:tcW w:w="2835" w:type="dxa"/>
          </w:tcPr>
          <w:p w14:paraId="7796CB3F" w14:textId="77777777" w:rsidR="00F77EAB" w:rsidRPr="003E069D" w:rsidRDefault="00F77EAB" w:rsidP="00A855C3">
            <w:pPr>
              <w:rPr>
                <w:rFonts w:ascii="Century Gothic" w:hAnsi="Century Gothic"/>
              </w:rPr>
            </w:pPr>
          </w:p>
        </w:tc>
        <w:tc>
          <w:tcPr>
            <w:tcW w:w="2835" w:type="dxa"/>
          </w:tcPr>
          <w:p w14:paraId="6F0033D5" w14:textId="77777777" w:rsidR="00F77EAB" w:rsidRPr="003E069D" w:rsidRDefault="00F77EAB" w:rsidP="00A855C3">
            <w:pPr>
              <w:rPr>
                <w:rFonts w:ascii="Century Gothic" w:hAnsi="Century Gothic"/>
              </w:rPr>
            </w:pPr>
          </w:p>
        </w:tc>
      </w:tr>
      <w:tr w:rsidR="001C294E" w:rsidRPr="003E069D" w14:paraId="57704D28" w14:textId="77777777" w:rsidTr="00110F97">
        <w:tc>
          <w:tcPr>
            <w:tcW w:w="1986" w:type="dxa"/>
          </w:tcPr>
          <w:p w14:paraId="14A83951" w14:textId="1D5BD597" w:rsidR="001C294E" w:rsidRPr="003E069D" w:rsidRDefault="001C294E" w:rsidP="00A855C3">
            <w:pPr>
              <w:rPr>
                <w:rFonts w:ascii="Century Gothic" w:hAnsi="Century Gothic"/>
              </w:rPr>
            </w:pPr>
            <w:r w:rsidRPr="003E069D">
              <w:rPr>
                <w:rFonts w:ascii="Century Gothic" w:hAnsi="Century Gothic"/>
              </w:rPr>
              <w:t>Assessment</w:t>
            </w:r>
          </w:p>
        </w:tc>
        <w:tc>
          <w:tcPr>
            <w:tcW w:w="6804" w:type="dxa"/>
          </w:tcPr>
          <w:p w14:paraId="260E7364" w14:textId="5F1541C6" w:rsidR="00B26758" w:rsidRPr="003E069D" w:rsidRDefault="001C294E" w:rsidP="00B26758">
            <w:pPr>
              <w:rPr>
                <w:rFonts w:ascii="Century Gothic" w:hAnsi="Century Gothic"/>
              </w:rPr>
            </w:pPr>
            <w:r w:rsidRPr="003E069D">
              <w:rPr>
                <w:rFonts w:ascii="Century Gothic" w:hAnsi="Century Gothic"/>
              </w:rPr>
              <w:t>The assessment strategy for the programme should be included in the submission and this should outline an appropriate range of assessment methods designed to allow students to demonstrate the achievement of learning outcomes.</w:t>
            </w:r>
          </w:p>
          <w:p w14:paraId="4D892C0F" w14:textId="226C2134" w:rsidR="00B26758" w:rsidRPr="003E069D" w:rsidRDefault="00B26758" w:rsidP="00B26758">
            <w:pPr>
              <w:rPr>
                <w:rFonts w:ascii="Century Gothic" w:hAnsi="Century Gothic"/>
              </w:rPr>
            </w:pPr>
          </w:p>
          <w:p w14:paraId="294294FE" w14:textId="6298F7B5" w:rsidR="00B26758" w:rsidRPr="003E069D" w:rsidRDefault="00B26758" w:rsidP="00B26758">
            <w:pPr>
              <w:rPr>
                <w:rFonts w:ascii="Century Gothic" w:hAnsi="Century Gothic"/>
              </w:rPr>
            </w:pPr>
            <w:r w:rsidRPr="003E069D">
              <w:rPr>
                <w:rFonts w:ascii="Century Gothic" w:hAnsi="Century Gothic"/>
              </w:rPr>
              <w:lastRenderedPageBreak/>
              <w:t>Assessment criteria, related to learning outcomes and marking schemes should be included within the submission.</w:t>
            </w:r>
          </w:p>
          <w:p w14:paraId="2163C2FC" w14:textId="0B3BEF87" w:rsidR="00B26758" w:rsidRPr="003E069D" w:rsidRDefault="00B26758" w:rsidP="00B26758">
            <w:pPr>
              <w:rPr>
                <w:rFonts w:ascii="Century Gothic" w:hAnsi="Century Gothic"/>
              </w:rPr>
            </w:pPr>
          </w:p>
          <w:p w14:paraId="1560C771" w14:textId="18BFF970" w:rsidR="00B26758" w:rsidRPr="003E069D" w:rsidRDefault="00B26758" w:rsidP="00B26758">
            <w:pPr>
              <w:rPr>
                <w:rFonts w:ascii="Century Gothic" w:hAnsi="Century Gothic"/>
              </w:rPr>
            </w:pPr>
            <w:r w:rsidRPr="003E069D">
              <w:rPr>
                <w:rFonts w:ascii="Century Gothic" w:hAnsi="Century Gothic"/>
              </w:rPr>
              <w:t>The submission must include appropriate regulations for governing student progression and achievement, covering the failure of programmes, or components of programmes and opportunities for students to retrieve referral. Students may not be awarded more than the threshold-passing grade on refe</w:t>
            </w:r>
            <w:r w:rsidR="005F1FD4" w:rsidRPr="003E069D">
              <w:rPr>
                <w:rFonts w:ascii="Century Gothic" w:hAnsi="Century Gothic"/>
              </w:rPr>
              <w:t>rral. No compensation or condone</w:t>
            </w:r>
            <w:r w:rsidRPr="003E069D">
              <w:rPr>
                <w:rFonts w:ascii="Century Gothic" w:hAnsi="Century Gothic"/>
              </w:rPr>
              <w:t>ment of failed or referred elements is permissible.</w:t>
            </w:r>
          </w:p>
          <w:p w14:paraId="17D0FCEE" w14:textId="010847BF" w:rsidR="005F1FD4" w:rsidRPr="003E069D" w:rsidRDefault="005F1FD4" w:rsidP="00B26758">
            <w:pPr>
              <w:rPr>
                <w:rFonts w:ascii="Century Gothic" w:hAnsi="Century Gothic"/>
              </w:rPr>
            </w:pPr>
          </w:p>
          <w:p w14:paraId="48FB31F9" w14:textId="342A45BF" w:rsidR="005F1FD4" w:rsidRPr="003E069D" w:rsidRDefault="005F1FD4" w:rsidP="00B26758">
            <w:pPr>
              <w:rPr>
                <w:rFonts w:ascii="Century Gothic" w:hAnsi="Century Gothic"/>
              </w:rPr>
            </w:pPr>
            <w:r w:rsidRPr="003E069D">
              <w:rPr>
                <w:rFonts w:ascii="Century Gothic" w:hAnsi="Century Gothic"/>
              </w:rPr>
              <w:t>Please include guidance issued to trainees on how to prepare and evidence items on their portfolio, including appropriate numbers of evidence.</w:t>
            </w:r>
          </w:p>
          <w:p w14:paraId="14ABA2D5" w14:textId="2E04433B" w:rsidR="001C294E" w:rsidRPr="003E069D" w:rsidRDefault="001C294E" w:rsidP="00A855C3">
            <w:pPr>
              <w:rPr>
                <w:rFonts w:ascii="Century Gothic" w:hAnsi="Century Gothic"/>
              </w:rPr>
            </w:pPr>
          </w:p>
        </w:tc>
        <w:tc>
          <w:tcPr>
            <w:tcW w:w="2835" w:type="dxa"/>
          </w:tcPr>
          <w:p w14:paraId="17928705" w14:textId="77777777" w:rsidR="001C294E" w:rsidRPr="003E069D" w:rsidRDefault="001C294E" w:rsidP="00A855C3">
            <w:pPr>
              <w:rPr>
                <w:rFonts w:ascii="Century Gothic" w:hAnsi="Century Gothic"/>
              </w:rPr>
            </w:pPr>
          </w:p>
        </w:tc>
        <w:tc>
          <w:tcPr>
            <w:tcW w:w="2835" w:type="dxa"/>
          </w:tcPr>
          <w:p w14:paraId="6B5282C9" w14:textId="77777777" w:rsidR="001C294E" w:rsidRPr="003E069D" w:rsidRDefault="001C294E" w:rsidP="00A855C3">
            <w:pPr>
              <w:rPr>
                <w:rFonts w:ascii="Century Gothic" w:hAnsi="Century Gothic"/>
              </w:rPr>
            </w:pPr>
          </w:p>
        </w:tc>
      </w:tr>
      <w:tr w:rsidR="00AE1DCA" w:rsidRPr="003E069D" w14:paraId="4C597605" w14:textId="77777777" w:rsidTr="00110F97">
        <w:tc>
          <w:tcPr>
            <w:tcW w:w="1986" w:type="dxa"/>
          </w:tcPr>
          <w:p w14:paraId="3C0567D2" w14:textId="4AE8B2C3" w:rsidR="00AE1DCA" w:rsidRPr="003E069D" w:rsidRDefault="00CF0469" w:rsidP="00A855C3">
            <w:pPr>
              <w:rPr>
                <w:rFonts w:ascii="Century Gothic" w:hAnsi="Century Gothic"/>
              </w:rPr>
            </w:pPr>
            <w:r w:rsidRPr="003E069D">
              <w:rPr>
                <w:rFonts w:ascii="Century Gothic" w:hAnsi="Century Gothic"/>
              </w:rPr>
              <w:t>Award and Credit structure</w:t>
            </w:r>
          </w:p>
        </w:tc>
        <w:tc>
          <w:tcPr>
            <w:tcW w:w="6804" w:type="dxa"/>
          </w:tcPr>
          <w:p w14:paraId="042AED60" w14:textId="77777777" w:rsidR="00CF0469" w:rsidRPr="003E069D" w:rsidRDefault="00AE1DCA" w:rsidP="00A855C3">
            <w:pPr>
              <w:rPr>
                <w:rFonts w:ascii="Century Gothic" w:hAnsi="Century Gothic"/>
              </w:rPr>
            </w:pPr>
            <w:r w:rsidRPr="003E069D">
              <w:rPr>
                <w:rFonts w:ascii="Century Gothic" w:hAnsi="Century Gothic"/>
              </w:rPr>
              <w:t xml:space="preserve">The final award and credit structure must be clearly articulated within the submission. </w:t>
            </w:r>
          </w:p>
          <w:p w14:paraId="44974DB6" w14:textId="77777777" w:rsidR="00CF0469" w:rsidRPr="003E069D" w:rsidRDefault="00CF0469" w:rsidP="00A855C3">
            <w:pPr>
              <w:rPr>
                <w:rFonts w:ascii="Century Gothic" w:hAnsi="Century Gothic"/>
              </w:rPr>
            </w:pPr>
          </w:p>
          <w:p w14:paraId="6D14D6EB" w14:textId="4FDF5656" w:rsidR="00AE1DCA" w:rsidRPr="003E069D" w:rsidRDefault="00AE1DCA" w:rsidP="00A855C3">
            <w:pPr>
              <w:rPr>
                <w:rFonts w:ascii="Century Gothic" w:hAnsi="Century Gothic"/>
              </w:rPr>
            </w:pPr>
            <w:r w:rsidRPr="003E069D">
              <w:rPr>
                <w:rFonts w:ascii="Century Gothic" w:hAnsi="Century Gothic"/>
              </w:rPr>
              <w:t>It is useful to the accreditation panel if a diagram of the (modular) structure of the programme is provided. The (modular) structure of the programme should correspond to the requirements of the FHEQ and should facilitate academic progression in terms of knowledge and skills.</w:t>
            </w:r>
          </w:p>
          <w:p w14:paraId="460007E5" w14:textId="0A3BB031" w:rsidR="00B26758" w:rsidRPr="003E069D" w:rsidRDefault="00B26758" w:rsidP="00A855C3">
            <w:pPr>
              <w:rPr>
                <w:rFonts w:ascii="Century Gothic" w:hAnsi="Century Gothic"/>
              </w:rPr>
            </w:pPr>
          </w:p>
          <w:p w14:paraId="2EE2ECAB" w14:textId="529E1DAF" w:rsidR="00B26758" w:rsidRPr="003E069D" w:rsidRDefault="00B26758" w:rsidP="00A855C3">
            <w:pPr>
              <w:rPr>
                <w:rFonts w:ascii="Century Gothic" w:hAnsi="Century Gothic"/>
              </w:rPr>
            </w:pPr>
            <w:r w:rsidRPr="003E069D">
              <w:rPr>
                <w:rFonts w:ascii="Century Gothic" w:hAnsi="Century Gothic"/>
              </w:rPr>
              <w:t>Where an external examiner has been appointed to the programme, details should be included in the submission. The roles of the external examiner should be detailed.</w:t>
            </w:r>
          </w:p>
          <w:p w14:paraId="366CB197" w14:textId="7B8D0C11" w:rsidR="00CF0469" w:rsidRPr="003E069D" w:rsidRDefault="00CF0469" w:rsidP="00CF0469">
            <w:pPr>
              <w:rPr>
                <w:rFonts w:ascii="Century Gothic" w:hAnsi="Century Gothic"/>
              </w:rPr>
            </w:pPr>
          </w:p>
        </w:tc>
        <w:tc>
          <w:tcPr>
            <w:tcW w:w="2835" w:type="dxa"/>
          </w:tcPr>
          <w:p w14:paraId="02E5C095" w14:textId="77777777" w:rsidR="00AE1DCA" w:rsidRPr="003E069D" w:rsidRDefault="00AE1DCA" w:rsidP="00A855C3">
            <w:pPr>
              <w:rPr>
                <w:rFonts w:ascii="Century Gothic" w:hAnsi="Century Gothic"/>
              </w:rPr>
            </w:pPr>
          </w:p>
        </w:tc>
        <w:tc>
          <w:tcPr>
            <w:tcW w:w="2835" w:type="dxa"/>
          </w:tcPr>
          <w:p w14:paraId="4319B59F" w14:textId="77777777" w:rsidR="00AE1DCA" w:rsidRPr="003E069D" w:rsidRDefault="00AE1DCA" w:rsidP="00A855C3">
            <w:pPr>
              <w:rPr>
                <w:rFonts w:ascii="Century Gothic" w:hAnsi="Century Gothic"/>
              </w:rPr>
            </w:pPr>
          </w:p>
        </w:tc>
      </w:tr>
      <w:tr w:rsidR="00AE1DCA" w:rsidRPr="003E069D" w14:paraId="5FA8ACF1" w14:textId="77777777" w:rsidTr="00110F97">
        <w:tc>
          <w:tcPr>
            <w:tcW w:w="1986" w:type="dxa"/>
          </w:tcPr>
          <w:p w14:paraId="14AEE528" w14:textId="1115107E" w:rsidR="00AE1DCA" w:rsidRPr="003E069D" w:rsidRDefault="00B26758" w:rsidP="00A855C3">
            <w:pPr>
              <w:rPr>
                <w:rFonts w:ascii="Century Gothic" w:hAnsi="Century Gothic"/>
              </w:rPr>
            </w:pPr>
            <w:r w:rsidRPr="003E069D">
              <w:rPr>
                <w:rFonts w:ascii="Century Gothic" w:hAnsi="Century Gothic"/>
              </w:rPr>
              <w:t xml:space="preserve">Quality Assurance </w:t>
            </w:r>
          </w:p>
        </w:tc>
        <w:tc>
          <w:tcPr>
            <w:tcW w:w="6804" w:type="dxa"/>
          </w:tcPr>
          <w:p w14:paraId="0B6EC0C8" w14:textId="77777777" w:rsidR="00AE1DCA" w:rsidRPr="003E069D" w:rsidRDefault="00AE1DCA" w:rsidP="00A855C3">
            <w:pPr>
              <w:rPr>
                <w:rFonts w:ascii="Century Gothic" w:hAnsi="Century Gothic"/>
              </w:rPr>
            </w:pPr>
            <w:r w:rsidRPr="003E069D">
              <w:rPr>
                <w:rFonts w:ascii="Century Gothic" w:hAnsi="Century Gothic"/>
              </w:rPr>
              <w:t xml:space="preserve">The HEI’s policy for the assurance of academic standards where practice-based staff are involved in the assessment of students must be included within the submission. It is important that the HEI has appropriate process in place to </w:t>
            </w:r>
            <w:r w:rsidRPr="003E069D">
              <w:rPr>
                <w:rFonts w:ascii="Century Gothic" w:hAnsi="Century Gothic"/>
              </w:rPr>
              <w:lastRenderedPageBreak/>
              <w:t>ensure the quality of the programme and standard of the award is maintained through practice</w:t>
            </w:r>
          </w:p>
          <w:p w14:paraId="4AFD7AF9" w14:textId="54E07082" w:rsidR="00B26758" w:rsidRPr="003E069D" w:rsidRDefault="00B26758" w:rsidP="00A855C3">
            <w:pPr>
              <w:rPr>
                <w:rFonts w:ascii="Century Gothic" w:hAnsi="Century Gothic"/>
              </w:rPr>
            </w:pPr>
          </w:p>
          <w:p w14:paraId="414915ED" w14:textId="34A67A32" w:rsidR="00B26758" w:rsidRPr="003E069D" w:rsidRDefault="00B26758" w:rsidP="00A855C3">
            <w:pPr>
              <w:rPr>
                <w:rFonts w:ascii="Century Gothic" w:hAnsi="Century Gothic"/>
              </w:rPr>
            </w:pPr>
            <w:r w:rsidRPr="003E069D">
              <w:rPr>
                <w:rFonts w:ascii="Century Gothic" w:hAnsi="Century Gothic"/>
              </w:rPr>
              <w:t>Mechanisms to combat plagiarism and related academic offences should be detailed within the submission.</w:t>
            </w:r>
          </w:p>
          <w:p w14:paraId="71AA9432" w14:textId="38043FAB" w:rsidR="00B26758" w:rsidRPr="003E069D" w:rsidRDefault="00B26758" w:rsidP="00A855C3">
            <w:pPr>
              <w:rPr>
                <w:rFonts w:ascii="Century Gothic" w:hAnsi="Century Gothic"/>
              </w:rPr>
            </w:pPr>
          </w:p>
          <w:p w14:paraId="4E6A0A7C" w14:textId="77777777" w:rsidR="00B26758" w:rsidRPr="003E069D" w:rsidRDefault="00B26758" w:rsidP="00B26758">
            <w:pPr>
              <w:rPr>
                <w:rFonts w:ascii="Century Gothic" w:hAnsi="Century Gothic"/>
              </w:rPr>
            </w:pPr>
            <w:r w:rsidRPr="003E069D">
              <w:rPr>
                <w:rFonts w:ascii="Century Gothic" w:hAnsi="Century Gothic"/>
              </w:rPr>
              <w:t>The submission must detail the full range of quality assurance mechanisms employed in the placement of students in surgical and healthcare environments. This should include:</w:t>
            </w:r>
          </w:p>
          <w:p w14:paraId="55211A07" w14:textId="77777777" w:rsidR="00B26758" w:rsidRPr="003E069D" w:rsidRDefault="00B26758" w:rsidP="00B26758">
            <w:pPr>
              <w:pStyle w:val="ListParagraph"/>
              <w:numPr>
                <w:ilvl w:val="0"/>
                <w:numId w:val="5"/>
              </w:numPr>
              <w:rPr>
                <w:rFonts w:ascii="Century Gothic" w:hAnsi="Century Gothic"/>
              </w:rPr>
            </w:pPr>
            <w:r w:rsidRPr="003E069D">
              <w:rPr>
                <w:rFonts w:ascii="Century Gothic" w:hAnsi="Century Gothic"/>
              </w:rPr>
              <w:t>The mechanisms and criteria for the selection, approval and monitoring of placements.</w:t>
            </w:r>
          </w:p>
          <w:p w14:paraId="71F0565B" w14:textId="77777777" w:rsidR="00B26758" w:rsidRPr="003E069D" w:rsidRDefault="00B26758" w:rsidP="00B26758">
            <w:pPr>
              <w:pStyle w:val="ListParagraph"/>
              <w:numPr>
                <w:ilvl w:val="0"/>
                <w:numId w:val="5"/>
              </w:numPr>
              <w:rPr>
                <w:rFonts w:ascii="Century Gothic" w:hAnsi="Century Gothic"/>
              </w:rPr>
            </w:pPr>
            <w:r w:rsidRPr="003E069D">
              <w:rPr>
                <w:rFonts w:ascii="Century Gothic" w:hAnsi="Century Gothic"/>
              </w:rPr>
              <w:t>The mechanisms and criteria for the selection, approval and monitoring of staff to support students in placement, including the training and support of placement staff and the establishment of an appropriate range of staff. Placement staff must possess an appropriate educational supervision or mentorship qualification.</w:t>
            </w:r>
          </w:p>
          <w:p w14:paraId="2C2DDCC4" w14:textId="77777777" w:rsidR="00B26758" w:rsidRPr="003E069D" w:rsidRDefault="00B26758" w:rsidP="00B26758">
            <w:pPr>
              <w:pStyle w:val="ListParagraph"/>
              <w:numPr>
                <w:ilvl w:val="0"/>
                <w:numId w:val="5"/>
              </w:numPr>
              <w:rPr>
                <w:rFonts w:ascii="Century Gothic" w:hAnsi="Century Gothic"/>
              </w:rPr>
            </w:pPr>
            <w:r w:rsidRPr="003E069D">
              <w:rPr>
                <w:rFonts w:ascii="Century Gothic" w:hAnsi="Century Gothic"/>
              </w:rPr>
              <w:t>Mechanisms for conflict resolution and interrupted placements.</w:t>
            </w:r>
          </w:p>
          <w:p w14:paraId="767B20D8" w14:textId="77777777" w:rsidR="00B26758" w:rsidRPr="003E069D" w:rsidRDefault="00B26758" w:rsidP="00B26758">
            <w:pPr>
              <w:pStyle w:val="ListParagraph"/>
              <w:numPr>
                <w:ilvl w:val="0"/>
                <w:numId w:val="5"/>
              </w:numPr>
              <w:rPr>
                <w:rFonts w:ascii="Century Gothic" w:hAnsi="Century Gothic"/>
              </w:rPr>
            </w:pPr>
            <w:r w:rsidRPr="003E069D">
              <w:rPr>
                <w:rFonts w:ascii="Century Gothic" w:hAnsi="Century Gothic"/>
              </w:rPr>
              <w:t>Criminal Records Bureau and other statutory checks and actions resulting from disclosures.</w:t>
            </w:r>
          </w:p>
          <w:p w14:paraId="6CA7EFE8" w14:textId="77777777" w:rsidR="00B26758" w:rsidRPr="003E069D" w:rsidRDefault="00B26758" w:rsidP="00B26758">
            <w:pPr>
              <w:pStyle w:val="ListParagraph"/>
              <w:numPr>
                <w:ilvl w:val="0"/>
                <w:numId w:val="5"/>
              </w:numPr>
              <w:rPr>
                <w:rFonts w:ascii="Century Gothic" w:hAnsi="Century Gothic"/>
              </w:rPr>
            </w:pPr>
            <w:r w:rsidRPr="003E069D">
              <w:rPr>
                <w:rFonts w:ascii="Century Gothic" w:hAnsi="Century Gothic"/>
              </w:rPr>
              <w:t>Mechanisms to ensure a safe environment for students.</w:t>
            </w:r>
          </w:p>
          <w:p w14:paraId="01AB97CA" w14:textId="77777777" w:rsidR="00B26758" w:rsidRPr="003E069D" w:rsidRDefault="00B26758" w:rsidP="00B26758">
            <w:pPr>
              <w:pStyle w:val="ListParagraph"/>
              <w:numPr>
                <w:ilvl w:val="0"/>
                <w:numId w:val="5"/>
              </w:numPr>
              <w:rPr>
                <w:rFonts w:ascii="Century Gothic" w:hAnsi="Century Gothic"/>
              </w:rPr>
            </w:pPr>
            <w:r w:rsidRPr="003E069D">
              <w:rPr>
                <w:rFonts w:ascii="Century Gothic" w:hAnsi="Century Gothic"/>
              </w:rPr>
              <w:t>Mechanisms to ensure safe, ethical and professional practice by students.</w:t>
            </w:r>
          </w:p>
          <w:p w14:paraId="2EEAC147" w14:textId="77777777" w:rsidR="00B26758" w:rsidRPr="003E069D" w:rsidRDefault="00B26758" w:rsidP="00B26758">
            <w:pPr>
              <w:pStyle w:val="ListParagraph"/>
              <w:numPr>
                <w:ilvl w:val="0"/>
                <w:numId w:val="5"/>
              </w:numPr>
              <w:rPr>
                <w:rFonts w:ascii="Century Gothic" w:hAnsi="Century Gothic"/>
              </w:rPr>
            </w:pPr>
            <w:r w:rsidRPr="003E069D">
              <w:rPr>
                <w:rFonts w:ascii="Century Gothic" w:hAnsi="Century Gothic"/>
              </w:rPr>
              <w:t>The clear communication of the learning expectations of students, to both students and staff.</w:t>
            </w:r>
          </w:p>
          <w:p w14:paraId="160B668E" w14:textId="5BF7E844" w:rsidR="00B26758" w:rsidRPr="003E069D" w:rsidRDefault="00B26758" w:rsidP="00B26758">
            <w:pPr>
              <w:pStyle w:val="ListParagraph"/>
              <w:numPr>
                <w:ilvl w:val="0"/>
                <w:numId w:val="5"/>
              </w:numPr>
              <w:rPr>
                <w:rFonts w:ascii="Century Gothic" w:eastAsiaTheme="minorHAnsi" w:hAnsi="Century Gothic"/>
                <w:lang w:eastAsia="en-US"/>
              </w:rPr>
            </w:pPr>
            <w:r w:rsidRPr="003E069D">
              <w:rPr>
                <w:rFonts w:ascii="Century Gothic" w:eastAsiaTheme="minorHAnsi" w:hAnsi="Century Gothic"/>
                <w:lang w:eastAsia="en-US"/>
              </w:rPr>
              <w:t>Arrangements for assessment in practice, including types of assessment, timing, loading and weighting in relation to credit, and the mechanisms for observation and moderation of practice-based assessment by external examiners.</w:t>
            </w:r>
          </w:p>
          <w:p w14:paraId="509650E5" w14:textId="257F61CD" w:rsidR="00D60476" w:rsidRPr="003E069D" w:rsidRDefault="00D60476" w:rsidP="00D60476">
            <w:pPr>
              <w:rPr>
                <w:rFonts w:ascii="Century Gothic" w:hAnsi="Century Gothic"/>
              </w:rPr>
            </w:pPr>
          </w:p>
          <w:p w14:paraId="1499FB83" w14:textId="4CC1D11E" w:rsidR="00B26758" w:rsidRPr="003E069D" w:rsidRDefault="00D60476" w:rsidP="00A855C3">
            <w:pPr>
              <w:rPr>
                <w:rFonts w:ascii="Century Gothic" w:hAnsi="Century Gothic"/>
              </w:rPr>
            </w:pPr>
            <w:r w:rsidRPr="003E069D">
              <w:rPr>
                <w:rFonts w:ascii="Century Gothic" w:hAnsi="Century Gothic"/>
              </w:rPr>
              <w:lastRenderedPageBreak/>
              <w:t>Please include clear details on how learners can raise concerns about the quality of the programme through accessible and clear processes.</w:t>
            </w:r>
          </w:p>
        </w:tc>
        <w:tc>
          <w:tcPr>
            <w:tcW w:w="2835" w:type="dxa"/>
          </w:tcPr>
          <w:p w14:paraId="72528B1B" w14:textId="77777777" w:rsidR="00AE1DCA" w:rsidRPr="003E069D" w:rsidRDefault="00AE1DCA" w:rsidP="00A855C3">
            <w:pPr>
              <w:rPr>
                <w:rFonts w:ascii="Century Gothic" w:hAnsi="Century Gothic"/>
              </w:rPr>
            </w:pPr>
          </w:p>
        </w:tc>
        <w:tc>
          <w:tcPr>
            <w:tcW w:w="2835" w:type="dxa"/>
          </w:tcPr>
          <w:p w14:paraId="63AF85B0" w14:textId="77777777" w:rsidR="00AE1DCA" w:rsidRPr="003E069D" w:rsidRDefault="00AE1DCA" w:rsidP="00A855C3">
            <w:pPr>
              <w:rPr>
                <w:rFonts w:ascii="Century Gothic" w:hAnsi="Century Gothic"/>
              </w:rPr>
            </w:pPr>
          </w:p>
        </w:tc>
      </w:tr>
    </w:tbl>
    <w:p w14:paraId="700658C3" w14:textId="3F837E8D" w:rsidR="00AE1DCA" w:rsidRPr="003E069D" w:rsidRDefault="00AE1DCA">
      <w:pPr>
        <w:rPr>
          <w:rFonts w:ascii="Century Gothic" w:hAnsi="Century Gothic"/>
          <w:color w:val="7030A0"/>
        </w:rPr>
      </w:pPr>
    </w:p>
    <w:sectPr w:rsidR="00AE1DCA" w:rsidRPr="003E069D" w:rsidSect="00110F97">
      <w:footerReference w:type="even"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FAA1C" w14:textId="77777777" w:rsidR="00797CB5" w:rsidRDefault="00797CB5" w:rsidP="00AB0128">
      <w:r>
        <w:separator/>
      </w:r>
    </w:p>
  </w:endnote>
  <w:endnote w:type="continuationSeparator" w:id="0">
    <w:p w14:paraId="49246252" w14:textId="77777777" w:rsidR="00797CB5" w:rsidRDefault="00797CB5" w:rsidP="00AB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07591163"/>
      <w:docPartObj>
        <w:docPartGallery w:val="Page Numbers (Bottom of Page)"/>
        <w:docPartUnique/>
      </w:docPartObj>
    </w:sdtPr>
    <w:sdtEndPr>
      <w:rPr>
        <w:rStyle w:val="PageNumber"/>
      </w:rPr>
    </w:sdtEndPr>
    <w:sdtContent>
      <w:p w14:paraId="683222E1" w14:textId="17774282" w:rsidR="00AB0128" w:rsidRDefault="00AB0128" w:rsidP="00B705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C567F7" w14:textId="77777777" w:rsidR="00AB0128" w:rsidRDefault="00AB0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00030899"/>
      <w:docPartObj>
        <w:docPartGallery w:val="Page Numbers (Bottom of Page)"/>
        <w:docPartUnique/>
      </w:docPartObj>
    </w:sdtPr>
    <w:sdtEndPr>
      <w:rPr>
        <w:rStyle w:val="PageNumber"/>
      </w:rPr>
    </w:sdtEndPr>
    <w:sdtContent>
      <w:p w14:paraId="5630EFA5" w14:textId="781368C1" w:rsidR="00AB0128" w:rsidRDefault="00AB0128" w:rsidP="00B705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A375B">
          <w:rPr>
            <w:rStyle w:val="PageNumber"/>
            <w:noProof/>
          </w:rPr>
          <w:t>4</w:t>
        </w:r>
        <w:r>
          <w:rPr>
            <w:rStyle w:val="PageNumber"/>
          </w:rPr>
          <w:fldChar w:fldCharType="end"/>
        </w:r>
      </w:p>
    </w:sdtContent>
  </w:sdt>
  <w:p w14:paraId="1C17C017" w14:textId="77777777" w:rsidR="00AB0128" w:rsidRDefault="00AB0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73378" w14:textId="77777777" w:rsidR="00797CB5" w:rsidRDefault="00797CB5" w:rsidP="00AB0128">
      <w:r>
        <w:separator/>
      </w:r>
    </w:p>
  </w:footnote>
  <w:footnote w:type="continuationSeparator" w:id="0">
    <w:p w14:paraId="2BF2383D" w14:textId="77777777" w:rsidR="00797CB5" w:rsidRDefault="00797CB5" w:rsidP="00AB0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27D3"/>
    <w:multiLevelType w:val="hybridMultilevel"/>
    <w:tmpl w:val="6A722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E566E1"/>
    <w:multiLevelType w:val="hybridMultilevel"/>
    <w:tmpl w:val="43C66C10"/>
    <w:lvl w:ilvl="0" w:tplc="977C0806">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A09D8"/>
    <w:multiLevelType w:val="hybridMultilevel"/>
    <w:tmpl w:val="06F07266"/>
    <w:lvl w:ilvl="0" w:tplc="977C0806">
      <w:start w:val="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18692F"/>
    <w:multiLevelType w:val="hybridMultilevel"/>
    <w:tmpl w:val="F0A6A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85220"/>
    <w:multiLevelType w:val="multilevel"/>
    <w:tmpl w:val="D3D4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FA40A8"/>
    <w:multiLevelType w:val="multilevel"/>
    <w:tmpl w:val="6CB020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82103B"/>
    <w:multiLevelType w:val="hybridMultilevel"/>
    <w:tmpl w:val="BF103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35FA5"/>
    <w:multiLevelType w:val="multilevel"/>
    <w:tmpl w:val="2030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8664CF"/>
    <w:multiLevelType w:val="multilevel"/>
    <w:tmpl w:val="65DE79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D6648A"/>
    <w:multiLevelType w:val="multilevel"/>
    <w:tmpl w:val="C0CC0D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C06088"/>
    <w:multiLevelType w:val="multilevel"/>
    <w:tmpl w:val="3CDA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981DEB"/>
    <w:multiLevelType w:val="hybridMultilevel"/>
    <w:tmpl w:val="EC3E8AD0"/>
    <w:lvl w:ilvl="0" w:tplc="977C0806">
      <w:start w:val="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622A8A"/>
    <w:multiLevelType w:val="hybridMultilevel"/>
    <w:tmpl w:val="5894A8B4"/>
    <w:lvl w:ilvl="0" w:tplc="977C0806">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846BBD"/>
    <w:multiLevelType w:val="multilevel"/>
    <w:tmpl w:val="1EDEA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78020D"/>
    <w:multiLevelType w:val="multilevel"/>
    <w:tmpl w:val="D0F042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EE6E51"/>
    <w:multiLevelType w:val="multilevel"/>
    <w:tmpl w:val="ED70A6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3548DB"/>
    <w:multiLevelType w:val="multilevel"/>
    <w:tmpl w:val="8E20E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F512F0"/>
    <w:multiLevelType w:val="multilevel"/>
    <w:tmpl w:val="680AE93E"/>
    <w:lvl w:ilvl="0">
      <w:start w:val="10"/>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12"/>
  </w:num>
  <w:num w:numId="5">
    <w:abstractNumId w:val="11"/>
  </w:num>
  <w:num w:numId="6">
    <w:abstractNumId w:val="2"/>
  </w:num>
  <w:num w:numId="7">
    <w:abstractNumId w:val="10"/>
  </w:num>
  <w:num w:numId="8">
    <w:abstractNumId w:val="15"/>
  </w:num>
  <w:num w:numId="9">
    <w:abstractNumId w:val="14"/>
  </w:num>
  <w:num w:numId="10">
    <w:abstractNumId w:val="17"/>
  </w:num>
  <w:num w:numId="11">
    <w:abstractNumId w:val="6"/>
  </w:num>
  <w:num w:numId="12">
    <w:abstractNumId w:val="5"/>
  </w:num>
  <w:num w:numId="13">
    <w:abstractNumId w:val="16"/>
  </w:num>
  <w:num w:numId="14">
    <w:abstractNumId w:val="4"/>
  </w:num>
  <w:num w:numId="15">
    <w:abstractNumId w:val="8"/>
  </w:num>
  <w:num w:numId="16">
    <w:abstractNumId w:val="9"/>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A"/>
    <w:rsid w:val="000D2DCD"/>
    <w:rsid w:val="00110F97"/>
    <w:rsid w:val="001163C8"/>
    <w:rsid w:val="00122877"/>
    <w:rsid w:val="00194442"/>
    <w:rsid w:val="001C294E"/>
    <w:rsid w:val="00300608"/>
    <w:rsid w:val="00354F0C"/>
    <w:rsid w:val="003E069D"/>
    <w:rsid w:val="00493051"/>
    <w:rsid w:val="004B3263"/>
    <w:rsid w:val="004C7D62"/>
    <w:rsid w:val="004F5418"/>
    <w:rsid w:val="005F1FD4"/>
    <w:rsid w:val="006118FD"/>
    <w:rsid w:val="00625C7E"/>
    <w:rsid w:val="006B494A"/>
    <w:rsid w:val="006D2E44"/>
    <w:rsid w:val="00797CB5"/>
    <w:rsid w:val="007A375B"/>
    <w:rsid w:val="00816C51"/>
    <w:rsid w:val="0086631A"/>
    <w:rsid w:val="00A653B1"/>
    <w:rsid w:val="00AB0128"/>
    <w:rsid w:val="00AE1DCA"/>
    <w:rsid w:val="00B10DCA"/>
    <w:rsid w:val="00B26758"/>
    <w:rsid w:val="00B8200A"/>
    <w:rsid w:val="00BF2A32"/>
    <w:rsid w:val="00C11100"/>
    <w:rsid w:val="00CD0545"/>
    <w:rsid w:val="00CF0469"/>
    <w:rsid w:val="00D350CA"/>
    <w:rsid w:val="00D579DA"/>
    <w:rsid w:val="00D60476"/>
    <w:rsid w:val="00D82832"/>
    <w:rsid w:val="00E614DA"/>
    <w:rsid w:val="00E751A8"/>
    <w:rsid w:val="00EF3933"/>
    <w:rsid w:val="00F42FF0"/>
    <w:rsid w:val="00F435E7"/>
    <w:rsid w:val="00F77EAB"/>
    <w:rsid w:val="00FB0AD9"/>
    <w:rsid w:val="00FE690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1388"/>
  <w15:chartTrackingRefBased/>
  <w15:docId w15:val="{E8C6F150-C187-014D-80B2-03EF7C75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DCA"/>
    <w:pPr>
      <w:ind w:left="720"/>
      <w:contextualSpacing/>
    </w:pPr>
    <w:rPr>
      <w:rFonts w:ascii="Calibri" w:eastAsia="Times New Roman" w:hAnsi="Calibri" w:cs="Times New Roman"/>
      <w:sz w:val="22"/>
      <w:lang w:eastAsia="en-GB"/>
    </w:rPr>
  </w:style>
  <w:style w:type="table" w:styleId="TableGrid">
    <w:name w:val="Table Grid"/>
    <w:basedOn w:val="TableNormal"/>
    <w:uiPriority w:val="59"/>
    <w:rsid w:val="00AE1DC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DCA"/>
    <w:rPr>
      <w:color w:val="0563C1" w:themeColor="hyperlink"/>
      <w:u w:val="single"/>
    </w:rPr>
  </w:style>
  <w:style w:type="paragraph" w:styleId="Footer">
    <w:name w:val="footer"/>
    <w:basedOn w:val="Normal"/>
    <w:link w:val="FooterChar"/>
    <w:uiPriority w:val="99"/>
    <w:unhideWhenUsed/>
    <w:rsid w:val="00AB0128"/>
    <w:pPr>
      <w:tabs>
        <w:tab w:val="center" w:pos="4513"/>
        <w:tab w:val="right" w:pos="9026"/>
      </w:tabs>
    </w:pPr>
  </w:style>
  <w:style w:type="character" w:customStyle="1" w:styleId="FooterChar">
    <w:name w:val="Footer Char"/>
    <w:basedOn w:val="DefaultParagraphFont"/>
    <w:link w:val="Footer"/>
    <w:uiPriority w:val="99"/>
    <w:rsid w:val="00AB0128"/>
  </w:style>
  <w:style w:type="character" w:styleId="PageNumber">
    <w:name w:val="page number"/>
    <w:basedOn w:val="DefaultParagraphFont"/>
    <w:uiPriority w:val="99"/>
    <w:semiHidden/>
    <w:unhideWhenUsed/>
    <w:rsid w:val="00AB0128"/>
  </w:style>
  <w:style w:type="paragraph" w:styleId="NormalWeb">
    <w:name w:val="Normal (Web)"/>
    <w:basedOn w:val="Normal"/>
    <w:uiPriority w:val="99"/>
    <w:unhideWhenUsed/>
    <w:rsid w:val="0086631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16150">
      <w:bodyDiv w:val="1"/>
      <w:marLeft w:val="0"/>
      <w:marRight w:val="0"/>
      <w:marTop w:val="0"/>
      <w:marBottom w:val="0"/>
      <w:divBdr>
        <w:top w:val="none" w:sz="0" w:space="0" w:color="auto"/>
        <w:left w:val="none" w:sz="0" w:space="0" w:color="auto"/>
        <w:bottom w:val="none" w:sz="0" w:space="0" w:color="auto"/>
        <w:right w:val="none" w:sz="0" w:space="0" w:color="auto"/>
      </w:divBdr>
      <w:divsChild>
        <w:div w:id="1366173095">
          <w:marLeft w:val="0"/>
          <w:marRight w:val="0"/>
          <w:marTop w:val="0"/>
          <w:marBottom w:val="0"/>
          <w:divBdr>
            <w:top w:val="none" w:sz="0" w:space="0" w:color="auto"/>
            <w:left w:val="none" w:sz="0" w:space="0" w:color="auto"/>
            <w:bottom w:val="none" w:sz="0" w:space="0" w:color="auto"/>
            <w:right w:val="none" w:sz="0" w:space="0" w:color="auto"/>
          </w:divBdr>
          <w:divsChild>
            <w:div w:id="436607644">
              <w:marLeft w:val="0"/>
              <w:marRight w:val="0"/>
              <w:marTop w:val="0"/>
              <w:marBottom w:val="0"/>
              <w:divBdr>
                <w:top w:val="none" w:sz="0" w:space="0" w:color="auto"/>
                <w:left w:val="none" w:sz="0" w:space="0" w:color="auto"/>
                <w:bottom w:val="none" w:sz="0" w:space="0" w:color="auto"/>
                <w:right w:val="none" w:sz="0" w:space="0" w:color="auto"/>
              </w:divBdr>
              <w:divsChild>
                <w:div w:id="4659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554592">
      <w:bodyDiv w:val="1"/>
      <w:marLeft w:val="0"/>
      <w:marRight w:val="0"/>
      <w:marTop w:val="0"/>
      <w:marBottom w:val="0"/>
      <w:divBdr>
        <w:top w:val="none" w:sz="0" w:space="0" w:color="auto"/>
        <w:left w:val="none" w:sz="0" w:space="0" w:color="auto"/>
        <w:bottom w:val="none" w:sz="0" w:space="0" w:color="auto"/>
        <w:right w:val="none" w:sz="0" w:space="0" w:color="auto"/>
      </w:divBdr>
      <w:divsChild>
        <w:div w:id="1207526124">
          <w:marLeft w:val="0"/>
          <w:marRight w:val="0"/>
          <w:marTop w:val="0"/>
          <w:marBottom w:val="0"/>
          <w:divBdr>
            <w:top w:val="none" w:sz="0" w:space="0" w:color="auto"/>
            <w:left w:val="none" w:sz="0" w:space="0" w:color="auto"/>
            <w:bottom w:val="none" w:sz="0" w:space="0" w:color="auto"/>
            <w:right w:val="none" w:sz="0" w:space="0" w:color="auto"/>
          </w:divBdr>
          <w:divsChild>
            <w:div w:id="1282110921">
              <w:marLeft w:val="0"/>
              <w:marRight w:val="0"/>
              <w:marTop w:val="0"/>
              <w:marBottom w:val="0"/>
              <w:divBdr>
                <w:top w:val="none" w:sz="0" w:space="0" w:color="auto"/>
                <w:left w:val="none" w:sz="0" w:space="0" w:color="auto"/>
                <w:bottom w:val="none" w:sz="0" w:space="0" w:color="auto"/>
                <w:right w:val="none" w:sz="0" w:space="0" w:color="auto"/>
              </w:divBdr>
              <w:divsChild>
                <w:div w:id="1123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20586">
          <w:marLeft w:val="0"/>
          <w:marRight w:val="0"/>
          <w:marTop w:val="0"/>
          <w:marBottom w:val="0"/>
          <w:divBdr>
            <w:top w:val="none" w:sz="0" w:space="0" w:color="auto"/>
            <w:left w:val="none" w:sz="0" w:space="0" w:color="auto"/>
            <w:bottom w:val="none" w:sz="0" w:space="0" w:color="auto"/>
            <w:right w:val="none" w:sz="0" w:space="0" w:color="auto"/>
          </w:divBdr>
          <w:divsChild>
            <w:div w:id="361630403">
              <w:marLeft w:val="0"/>
              <w:marRight w:val="0"/>
              <w:marTop w:val="0"/>
              <w:marBottom w:val="0"/>
              <w:divBdr>
                <w:top w:val="none" w:sz="0" w:space="0" w:color="auto"/>
                <w:left w:val="none" w:sz="0" w:space="0" w:color="auto"/>
                <w:bottom w:val="none" w:sz="0" w:space="0" w:color="auto"/>
                <w:right w:val="none" w:sz="0" w:space="0" w:color="auto"/>
              </w:divBdr>
              <w:divsChild>
                <w:div w:id="735006559">
                  <w:marLeft w:val="0"/>
                  <w:marRight w:val="0"/>
                  <w:marTop w:val="0"/>
                  <w:marBottom w:val="0"/>
                  <w:divBdr>
                    <w:top w:val="none" w:sz="0" w:space="0" w:color="auto"/>
                    <w:left w:val="none" w:sz="0" w:space="0" w:color="auto"/>
                    <w:bottom w:val="none" w:sz="0" w:space="0" w:color="auto"/>
                    <w:right w:val="none" w:sz="0" w:space="0" w:color="auto"/>
                  </w:divBdr>
                </w:div>
              </w:divsChild>
            </w:div>
            <w:div w:id="1172835034">
              <w:marLeft w:val="0"/>
              <w:marRight w:val="0"/>
              <w:marTop w:val="0"/>
              <w:marBottom w:val="0"/>
              <w:divBdr>
                <w:top w:val="none" w:sz="0" w:space="0" w:color="auto"/>
                <w:left w:val="none" w:sz="0" w:space="0" w:color="auto"/>
                <w:bottom w:val="none" w:sz="0" w:space="0" w:color="auto"/>
                <w:right w:val="none" w:sz="0" w:space="0" w:color="auto"/>
              </w:divBdr>
              <w:divsChild>
                <w:div w:id="95776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3615">
      <w:bodyDiv w:val="1"/>
      <w:marLeft w:val="0"/>
      <w:marRight w:val="0"/>
      <w:marTop w:val="0"/>
      <w:marBottom w:val="0"/>
      <w:divBdr>
        <w:top w:val="none" w:sz="0" w:space="0" w:color="auto"/>
        <w:left w:val="none" w:sz="0" w:space="0" w:color="auto"/>
        <w:bottom w:val="none" w:sz="0" w:space="0" w:color="auto"/>
        <w:right w:val="none" w:sz="0" w:space="0" w:color="auto"/>
      </w:divBdr>
      <w:divsChild>
        <w:div w:id="848368345">
          <w:marLeft w:val="0"/>
          <w:marRight w:val="0"/>
          <w:marTop w:val="0"/>
          <w:marBottom w:val="0"/>
          <w:divBdr>
            <w:top w:val="none" w:sz="0" w:space="0" w:color="auto"/>
            <w:left w:val="none" w:sz="0" w:space="0" w:color="auto"/>
            <w:bottom w:val="none" w:sz="0" w:space="0" w:color="auto"/>
            <w:right w:val="none" w:sz="0" w:space="0" w:color="auto"/>
          </w:divBdr>
          <w:divsChild>
            <w:div w:id="67728837">
              <w:marLeft w:val="0"/>
              <w:marRight w:val="0"/>
              <w:marTop w:val="0"/>
              <w:marBottom w:val="0"/>
              <w:divBdr>
                <w:top w:val="none" w:sz="0" w:space="0" w:color="auto"/>
                <w:left w:val="none" w:sz="0" w:space="0" w:color="auto"/>
                <w:bottom w:val="none" w:sz="0" w:space="0" w:color="auto"/>
                <w:right w:val="none" w:sz="0" w:space="0" w:color="auto"/>
              </w:divBdr>
              <w:divsChild>
                <w:div w:id="2208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9336">
      <w:bodyDiv w:val="1"/>
      <w:marLeft w:val="0"/>
      <w:marRight w:val="0"/>
      <w:marTop w:val="0"/>
      <w:marBottom w:val="0"/>
      <w:divBdr>
        <w:top w:val="none" w:sz="0" w:space="0" w:color="auto"/>
        <w:left w:val="none" w:sz="0" w:space="0" w:color="auto"/>
        <w:bottom w:val="none" w:sz="0" w:space="0" w:color="auto"/>
        <w:right w:val="none" w:sz="0" w:space="0" w:color="auto"/>
      </w:divBdr>
      <w:divsChild>
        <w:div w:id="1707634136">
          <w:marLeft w:val="0"/>
          <w:marRight w:val="0"/>
          <w:marTop w:val="0"/>
          <w:marBottom w:val="0"/>
          <w:divBdr>
            <w:top w:val="none" w:sz="0" w:space="0" w:color="auto"/>
            <w:left w:val="none" w:sz="0" w:space="0" w:color="auto"/>
            <w:bottom w:val="none" w:sz="0" w:space="0" w:color="auto"/>
            <w:right w:val="none" w:sz="0" w:space="0" w:color="auto"/>
          </w:divBdr>
          <w:divsChild>
            <w:div w:id="1137722335">
              <w:marLeft w:val="0"/>
              <w:marRight w:val="0"/>
              <w:marTop w:val="0"/>
              <w:marBottom w:val="0"/>
              <w:divBdr>
                <w:top w:val="none" w:sz="0" w:space="0" w:color="auto"/>
                <w:left w:val="none" w:sz="0" w:space="0" w:color="auto"/>
                <w:bottom w:val="none" w:sz="0" w:space="0" w:color="auto"/>
                <w:right w:val="none" w:sz="0" w:space="0" w:color="auto"/>
              </w:divBdr>
              <w:divsChild>
                <w:div w:id="7871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12903">
      <w:bodyDiv w:val="1"/>
      <w:marLeft w:val="0"/>
      <w:marRight w:val="0"/>
      <w:marTop w:val="0"/>
      <w:marBottom w:val="0"/>
      <w:divBdr>
        <w:top w:val="none" w:sz="0" w:space="0" w:color="auto"/>
        <w:left w:val="none" w:sz="0" w:space="0" w:color="auto"/>
        <w:bottom w:val="none" w:sz="0" w:space="0" w:color="auto"/>
        <w:right w:val="none" w:sz="0" w:space="0" w:color="auto"/>
      </w:divBdr>
      <w:divsChild>
        <w:div w:id="1722945228">
          <w:marLeft w:val="0"/>
          <w:marRight w:val="0"/>
          <w:marTop w:val="0"/>
          <w:marBottom w:val="0"/>
          <w:divBdr>
            <w:top w:val="none" w:sz="0" w:space="0" w:color="auto"/>
            <w:left w:val="none" w:sz="0" w:space="0" w:color="auto"/>
            <w:bottom w:val="none" w:sz="0" w:space="0" w:color="auto"/>
            <w:right w:val="none" w:sz="0" w:space="0" w:color="auto"/>
          </w:divBdr>
          <w:divsChild>
            <w:div w:id="1302417766">
              <w:marLeft w:val="0"/>
              <w:marRight w:val="0"/>
              <w:marTop w:val="0"/>
              <w:marBottom w:val="0"/>
              <w:divBdr>
                <w:top w:val="none" w:sz="0" w:space="0" w:color="auto"/>
                <w:left w:val="none" w:sz="0" w:space="0" w:color="auto"/>
                <w:bottom w:val="none" w:sz="0" w:space="0" w:color="auto"/>
                <w:right w:val="none" w:sz="0" w:space="0" w:color="auto"/>
              </w:divBdr>
              <w:divsChild>
                <w:div w:id="160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941378">
      <w:bodyDiv w:val="1"/>
      <w:marLeft w:val="0"/>
      <w:marRight w:val="0"/>
      <w:marTop w:val="0"/>
      <w:marBottom w:val="0"/>
      <w:divBdr>
        <w:top w:val="none" w:sz="0" w:space="0" w:color="auto"/>
        <w:left w:val="none" w:sz="0" w:space="0" w:color="auto"/>
        <w:bottom w:val="none" w:sz="0" w:space="0" w:color="auto"/>
        <w:right w:val="none" w:sz="0" w:space="0" w:color="auto"/>
      </w:divBdr>
      <w:divsChild>
        <w:div w:id="115177662">
          <w:marLeft w:val="0"/>
          <w:marRight w:val="0"/>
          <w:marTop w:val="0"/>
          <w:marBottom w:val="0"/>
          <w:divBdr>
            <w:top w:val="none" w:sz="0" w:space="0" w:color="auto"/>
            <w:left w:val="none" w:sz="0" w:space="0" w:color="auto"/>
            <w:bottom w:val="none" w:sz="0" w:space="0" w:color="auto"/>
            <w:right w:val="none" w:sz="0" w:space="0" w:color="auto"/>
          </w:divBdr>
          <w:divsChild>
            <w:div w:id="574899538">
              <w:marLeft w:val="0"/>
              <w:marRight w:val="0"/>
              <w:marTop w:val="0"/>
              <w:marBottom w:val="0"/>
              <w:divBdr>
                <w:top w:val="none" w:sz="0" w:space="0" w:color="auto"/>
                <w:left w:val="none" w:sz="0" w:space="0" w:color="auto"/>
                <w:bottom w:val="none" w:sz="0" w:space="0" w:color="auto"/>
                <w:right w:val="none" w:sz="0" w:space="0" w:color="auto"/>
              </w:divBdr>
              <w:divsChild>
                <w:div w:id="36779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5065">
      <w:bodyDiv w:val="1"/>
      <w:marLeft w:val="0"/>
      <w:marRight w:val="0"/>
      <w:marTop w:val="0"/>
      <w:marBottom w:val="0"/>
      <w:divBdr>
        <w:top w:val="none" w:sz="0" w:space="0" w:color="auto"/>
        <w:left w:val="none" w:sz="0" w:space="0" w:color="auto"/>
        <w:bottom w:val="none" w:sz="0" w:space="0" w:color="auto"/>
        <w:right w:val="none" w:sz="0" w:space="0" w:color="auto"/>
      </w:divBdr>
      <w:divsChild>
        <w:div w:id="575896234">
          <w:marLeft w:val="0"/>
          <w:marRight w:val="0"/>
          <w:marTop w:val="0"/>
          <w:marBottom w:val="0"/>
          <w:divBdr>
            <w:top w:val="none" w:sz="0" w:space="0" w:color="auto"/>
            <w:left w:val="none" w:sz="0" w:space="0" w:color="auto"/>
            <w:bottom w:val="none" w:sz="0" w:space="0" w:color="auto"/>
            <w:right w:val="none" w:sz="0" w:space="0" w:color="auto"/>
          </w:divBdr>
          <w:divsChild>
            <w:div w:id="1973054429">
              <w:marLeft w:val="0"/>
              <w:marRight w:val="0"/>
              <w:marTop w:val="0"/>
              <w:marBottom w:val="0"/>
              <w:divBdr>
                <w:top w:val="none" w:sz="0" w:space="0" w:color="auto"/>
                <w:left w:val="none" w:sz="0" w:space="0" w:color="auto"/>
                <w:bottom w:val="none" w:sz="0" w:space="0" w:color="auto"/>
                <w:right w:val="none" w:sz="0" w:space="0" w:color="auto"/>
              </w:divBdr>
              <w:divsChild>
                <w:div w:id="3727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7453">
          <w:marLeft w:val="0"/>
          <w:marRight w:val="0"/>
          <w:marTop w:val="0"/>
          <w:marBottom w:val="0"/>
          <w:divBdr>
            <w:top w:val="none" w:sz="0" w:space="0" w:color="auto"/>
            <w:left w:val="none" w:sz="0" w:space="0" w:color="auto"/>
            <w:bottom w:val="none" w:sz="0" w:space="0" w:color="auto"/>
            <w:right w:val="none" w:sz="0" w:space="0" w:color="auto"/>
          </w:divBdr>
          <w:divsChild>
            <w:div w:id="870386064">
              <w:marLeft w:val="0"/>
              <w:marRight w:val="0"/>
              <w:marTop w:val="0"/>
              <w:marBottom w:val="0"/>
              <w:divBdr>
                <w:top w:val="none" w:sz="0" w:space="0" w:color="auto"/>
                <w:left w:val="none" w:sz="0" w:space="0" w:color="auto"/>
                <w:bottom w:val="none" w:sz="0" w:space="0" w:color="auto"/>
                <w:right w:val="none" w:sz="0" w:space="0" w:color="auto"/>
              </w:divBdr>
              <w:divsChild>
                <w:div w:id="77754097">
                  <w:marLeft w:val="0"/>
                  <w:marRight w:val="0"/>
                  <w:marTop w:val="0"/>
                  <w:marBottom w:val="0"/>
                  <w:divBdr>
                    <w:top w:val="none" w:sz="0" w:space="0" w:color="auto"/>
                    <w:left w:val="none" w:sz="0" w:space="0" w:color="auto"/>
                    <w:bottom w:val="none" w:sz="0" w:space="0" w:color="auto"/>
                    <w:right w:val="none" w:sz="0" w:space="0" w:color="auto"/>
                  </w:divBdr>
                </w:div>
              </w:divsChild>
            </w:div>
            <w:div w:id="1513304075">
              <w:marLeft w:val="0"/>
              <w:marRight w:val="0"/>
              <w:marTop w:val="0"/>
              <w:marBottom w:val="0"/>
              <w:divBdr>
                <w:top w:val="none" w:sz="0" w:space="0" w:color="auto"/>
                <w:left w:val="none" w:sz="0" w:space="0" w:color="auto"/>
                <w:bottom w:val="none" w:sz="0" w:space="0" w:color="auto"/>
                <w:right w:val="none" w:sz="0" w:space="0" w:color="auto"/>
              </w:divBdr>
              <w:divsChild>
                <w:div w:id="13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4355">
          <w:marLeft w:val="0"/>
          <w:marRight w:val="0"/>
          <w:marTop w:val="0"/>
          <w:marBottom w:val="0"/>
          <w:divBdr>
            <w:top w:val="none" w:sz="0" w:space="0" w:color="auto"/>
            <w:left w:val="none" w:sz="0" w:space="0" w:color="auto"/>
            <w:bottom w:val="none" w:sz="0" w:space="0" w:color="auto"/>
            <w:right w:val="none" w:sz="0" w:space="0" w:color="auto"/>
          </w:divBdr>
          <w:divsChild>
            <w:div w:id="1378504767">
              <w:marLeft w:val="0"/>
              <w:marRight w:val="0"/>
              <w:marTop w:val="0"/>
              <w:marBottom w:val="0"/>
              <w:divBdr>
                <w:top w:val="none" w:sz="0" w:space="0" w:color="auto"/>
                <w:left w:val="none" w:sz="0" w:space="0" w:color="auto"/>
                <w:bottom w:val="none" w:sz="0" w:space="0" w:color="auto"/>
                <w:right w:val="none" w:sz="0" w:space="0" w:color="auto"/>
              </w:divBdr>
              <w:divsChild>
                <w:div w:id="388580325">
                  <w:marLeft w:val="0"/>
                  <w:marRight w:val="0"/>
                  <w:marTop w:val="0"/>
                  <w:marBottom w:val="0"/>
                  <w:divBdr>
                    <w:top w:val="none" w:sz="0" w:space="0" w:color="auto"/>
                    <w:left w:val="none" w:sz="0" w:space="0" w:color="auto"/>
                    <w:bottom w:val="none" w:sz="0" w:space="0" w:color="auto"/>
                    <w:right w:val="none" w:sz="0" w:space="0" w:color="auto"/>
                  </w:divBdr>
                </w:div>
              </w:divsChild>
            </w:div>
            <w:div w:id="1672830263">
              <w:marLeft w:val="0"/>
              <w:marRight w:val="0"/>
              <w:marTop w:val="0"/>
              <w:marBottom w:val="0"/>
              <w:divBdr>
                <w:top w:val="none" w:sz="0" w:space="0" w:color="auto"/>
                <w:left w:val="none" w:sz="0" w:space="0" w:color="auto"/>
                <w:bottom w:val="none" w:sz="0" w:space="0" w:color="auto"/>
                <w:right w:val="none" w:sz="0" w:space="0" w:color="auto"/>
              </w:divBdr>
              <w:divsChild>
                <w:div w:id="46794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2013">
      <w:bodyDiv w:val="1"/>
      <w:marLeft w:val="0"/>
      <w:marRight w:val="0"/>
      <w:marTop w:val="0"/>
      <w:marBottom w:val="0"/>
      <w:divBdr>
        <w:top w:val="none" w:sz="0" w:space="0" w:color="auto"/>
        <w:left w:val="none" w:sz="0" w:space="0" w:color="auto"/>
        <w:bottom w:val="none" w:sz="0" w:space="0" w:color="auto"/>
        <w:right w:val="none" w:sz="0" w:space="0" w:color="auto"/>
      </w:divBdr>
      <w:divsChild>
        <w:div w:id="1878274190">
          <w:marLeft w:val="0"/>
          <w:marRight w:val="0"/>
          <w:marTop w:val="0"/>
          <w:marBottom w:val="0"/>
          <w:divBdr>
            <w:top w:val="none" w:sz="0" w:space="0" w:color="auto"/>
            <w:left w:val="none" w:sz="0" w:space="0" w:color="auto"/>
            <w:bottom w:val="none" w:sz="0" w:space="0" w:color="auto"/>
            <w:right w:val="none" w:sz="0" w:space="0" w:color="auto"/>
          </w:divBdr>
          <w:divsChild>
            <w:div w:id="800731909">
              <w:marLeft w:val="0"/>
              <w:marRight w:val="0"/>
              <w:marTop w:val="0"/>
              <w:marBottom w:val="0"/>
              <w:divBdr>
                <w:top w:val="none" w:sz="0" w:space="0" w:color="auto"/>
                <w:left w:val="none" w:sz="0" w:space="0" w:color="auto"/>
                <w:bottom w:val="none" w:sz="0" w:space="0" w:color="auto"/>
                <w:right w:val="none" w:sz="0" w:space="0" w:color="auto"/>
              </w:divBdr>
              <w:divsChild>
                <w:div w:id="11746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icm.ac.uk/sites/default/files/accp_curriculum_part_iii_-_syllabus_v1.1_2019_revis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1908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Hall</dc:creator>
  <cp:keywords/>
  <dc:description/>
  <cp:lastModifiedBy>Susan Hall</cp:lastModifiedBy>
  <cp:revision>7</cp:revision>
  <dcterms:created xsi:type="dcterms:W3CDTF">2020-09-02T15:05:00Z</dcterms:created>
  <dcterms:modified xsi:type="dcterms:W3CDTF">2021-10-04T13:05:00Z</dcterms:modified>
</cp:coreProperties>
</file>